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3.3.0 -->
  <w:body>
    <w:p w:rsidR="00993980" w:rsidP="00C204DF">
      <w:pPr>
        <w:widowControl/>
        <w:spacing w:line="360" w:lineRule="auto"/>
        <w:ind w:left="315"/>
        <w:jc w:val="center"/>
        <w:outlineLvl w:val="0"/>
        <w:rPr>
          <w:rFonts w:ascii="Times New Roman" w:eastAsia="黑体" w:hAnsi="Times New Roman" w:cs="Times New Roman"/>
          <w:b/>
          <w:bCs/>
          <w:kern w:val="44"/>
          <w:sz w:val="36"/>
          <w:szCs w:val="28"/>
        </w:rPr>
      </w:pPr>
      <w:r>
        <w:rPr>
          <w:rFonts w:ascii="Times New Roman" w:eastAsia="黑体" w:hAnsi="Times New Roman" w:cs="Times New Roman"/>
          <w:b/>
          <w:bCs/>
          <w:kern w:val="44"/>
          <w:sz w:val="36"/>
          <w:szCs w:val="28"/>
        </w:rPr>
        <w:drawing>
          <wp:anchor simplePos="0" relativeHeight="251658240" behindDoc="0" locked="0" layoutInCell="1" allowOverlap="1">
            <wp:simplePos x="0" y="0"/>
            <wp:positionH relativeFrom="page">
              <wp:posOffset>12509500</wp:posOffset>
            </wp:positionH>
            <wp:positionV relativeFrom="topMargin">
              <wp:posOffset>10972800</wp:posOffset>
            </wp:positionV>
            <wp:extent cx="355600" cy="431800"/>
            <wp:wrapNone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5600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黑体" w:hAnsi="Times New Roman" w:cs="Times New Roman"/>
          <w:b/>
          <w:bCs/>
          <w:kern w:val="44"/>
          <w:sz w:val="36"/>
          <w:szCs w:val="28"/>
        </w:rPr>
        <w:t>第</w:t>
      </w:r>
      <w:r>
        <w:rPr>
          <w:rFonts w:ascii="Times New Roman" w:eastAsia="黑体" w:hAnsi="Times New Roman" w:cs="Times New Roman" w:hint="eastAsia"/>
          <w:b/>
          <w:bCs/>
          <w:kern w:val="44"/>
          <w:sz w:val="36"/>
          <w:szCs w:val="28"/>
        </w:rPr>
        <w:t>9</w:t>
      </w:r>
      <w:r>
        <w:rPr>
          <w:rFonts w:ascii="Times New Roman" w:eastAsia="黑体" w:hAnsi="Times New Roman" w:cs="Times New Roman"/>
          <w:b/>
          <w:bCs/>
          <w:kern w:val="44"/>
          <w:sz w:val="36"/>
          <w:szCs w:val="28"/>
        </w:rPr>
        <w:t>课</w:t>
      </w:r>
      <w:r w:rsidR="00C204DF">
        <w:rPr>
          <w:rFonts w:ascii="Times New Roman" w:eastAsia="黑体" w:hAnsi="Times New Roman" w:cs="Times New Roman" w:hint="eastAsia"/>
          <w:b/>
          <w:bCs/>
          <w:kern w:val="44"/>
          <w:sz w:val="36"/>
          <w:szCs w:val="28"/>
        </w:rPr>
        <w:t xml:space="preserve">   </w:t>
      </w:r>
      <w:r>
        <w:rPr>
          <w:rFonts w:ascii="Times New Roman" w:eastAsia="黑体" w:hAnsi="Times New Roman" w:cs="Times New Roman" w:hint="eastAsia"/>
          <w:b/>
          <w:bCs/>
          <w:kern w:val="44"/>
          <w:sz w:val="36"/>
          <w:szCs w:val="28"/>
        </w:rPr>
        <w:t>中世纪城市和大学的兴起</w:t>
      </w:r>
      <w:r w:rsidR="00C204DF">
        <w:rPr>
          <w:rFonts w:ascii="Times New Roman" w:eastAsia="黑体" w:hAnsi="Times New Roman" w:cs="Times New Roman"/>
          <w:b/>
          <w:bCs/>
          <w:kern w:val="44"/>
          <w:sz w:val="36"/>
          <w:szCs w:val="28"/>
        </w:rPr>
        <w:t>（</w:t>
      </w:r>
      <w:r>
        <w:rPr>
          <w:rFonts w:ascii="Times New Roman" w:eastAsia="黑体" w:hAnsi="Times New Roman" w:cs="Times New Roman" w:hint="eastAsia"/>
          <w:b/>
          <w:bCs/>
          <w:kern w:val="44"/>
          <w:sz w:val="36"/>
          <w:szCs w:val="28"/>
        </w:rPr>
        <w:t>史料</w:t>
      </w:r>
      <w:r>
        <w:rPr>
          <w:rFonts w:ascii="Times New Roman" w:eastAsia="黑体" w:hAnsi="Times New Roman" w:cs="Times New Roman"/>
          <w:b/>
          <w:bCs/>
          <w:kern w:val="44"/>
          <w:sz w:val="36"/>
          <w:szCs w:val="28"/>
        </w:rPr>
        <w:t>拓展练</w:t>
      </w:r>
      <w:r w:rsidR="00C204DF">
        <w:rPr>
          <w:rFonts w:ascii="Times New Roman" w:eastAsia="黑体" w:hAnsi="Times New Roman" w:cs="Times New Roman"/>
          <w:b/>
          <w:bCs/>
          <w:kern w:val="44"/>
          <w:sz w:val="36"/>
          <w:szCs w:val="28"/>
        </w:rPr>
        <w:t>）</w:t>
      </w:r>
    </w:p>
    <w:p w:rsidR="00993980" w:rsidP="00C204DF">
      <w:pPr>
        <w:spacing w:line="360" w:lineRule="auto"/>
        <w:ind w:left="315"/>
        <w:jc w:val="center"/>
        <w:textAlignment w:val="center"/>
        <w:rPr>
          <w:rFonts w:ascii="Times New Roman" w:eastAsia="宋体" w:hAnsi="Times New Roman" w:cs="Times New Roman"/>
          <w:b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1790700" cy="333375"/>
            <wp:effectExtent l="0" t="0" r="0" b="9525"/>
            <wp:docPr id="4" name="图片 4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33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spacing w:line="360" w:lineRule="auto"/>
        <w:ind w:left="315" w:hanging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中世纪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西欧城市向封建领主纳税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封建领主放弃对城市的统治权和司法权</w:t>
      </w:r>
      <w:r>
        <w:rPr>
          <w:rFonts w:ascii="Times New Roman" w:eastAsia="宋体" w:hAnsi="Times New Roman" w:cs="Times New Roman"/>
        </w:rPr>
        <w:t>⋯⋯</w:t>
      </w:r>
      <w:r>
        <w:rPr>
          <w:rFonts w:ascii="Times New Roman" w:eastAsia="宋体" w:hAnsi="Times New Roman" w:cs="Times New Roman"/>
        </w:rPr>
        <w:t>城市管理人员由市民选举产生。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材料反映了中世纪的西欧城市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依然由封建领主控制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初步确立了资本主义制度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彻底摆脱了封建统治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成为相对自治的共同体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315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中世纪西欧城市向封建领主纳税以换取统治权和司法权的记载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揭示了城市自治的核心逻辑。这种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以税换权</w:t>
      </w:r>
      <w:r>
        <w:rPr>
          <w:rFonts w:ascii="Times New Roman" w:eastAsia="黑体" w:hAnsi="Times New Roman" w:cs="Times New Roman"/>
        </w:rPr>
        <w:t>”</w:t>
      </w:r>
      <w:r>
        <w:rPr>
          <w:rFonts w:ascii="Times New Roman" w:eastAsia="黑体" w:hAnsi="Times New Roman" w:cs="Times New Roman"/>
        </w:rPr>
        <w:t>的模式并非完全独立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而是通过契约与封建体系达成妥协</w:t>
      </w:r>
      <w:r>
        <w:rPr>
          <w:rFonts w:ascii="Times New Roman" w:eastAsia="黑体" w:hAnsi="Times New Roman" w:cs="Times New Roman"/>
        </w:rPr>
        <w:t>——</w:t>
      </w:r>
      <w:r>
        <w:rPr>
          <w:rFonts w:ascii="Times New Roman" w:eastAsia="黑体" w:hAnsi="Times New Roman" w:cs="Times New Roman"/>
        </w:rPr>
        <w:t>城市保留封建依附关系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纳税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同时获得管理自主权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市民选举官员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。这种相对自治不同于现代民主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本质是市民阶层与领主的利益交换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领主通过放弃直接统治获得稳定税收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市民则通</w:t>
      </w:r>
      <w:r>
        <w:rPr>
          <w:rFonts w:ascii="Times New Roman" w:eastAsia="黑体" w:hAnsi="Times New Roman" w:cs="Times New Roman"/>
        </w:rPr>
        <w:t>过付费摆脱</w:t>
      </w:r>
      <w:r>
        <w:rPr>
          <w:rFonts w:ascii="Times New Roman" w:eastAsia="黑体" w:hAnsi="Times New Roman" w:cs="Times New Roman"/>
        </w:rPr>
        <w:t>人身束缚。这种模式催生了最早的城市法和自治机构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如市议会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为近代宪政制度提供了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契约治理</w:t>
      </w:r>
      <w:r>
        <w:rPr>
          <w:rFonts w:ascii="Times New Roman" w:eastAsia="黑体" w:hAnsi="Times New Roman" w:cs="Times New Roman"/>
        </w:rPr>
        <w:t>”</w:t>
      </w:r>
      <w:r>
        <w:rPr>
          <w:rFonts w:ascii="Times New Roman" w:eastAsia="黑体" w:hAnsi="Times New Roman" w:cs="Times New Roman"/>
        </w:rPr>
        <w:t>的历史原型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也反映了中世纪权力结构的灵活性。</w:t>
      </w:r>
    </w:p>
    <w:p w:rsidR="00993980" w:rsidP="00C204DF">
      <w:pPr>
        <w:spacing w:line="360" w:lineRule="auto"/>
        <w:ind w:left="315" w:hanging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13</w:t>
      </w:r>
      <w:r>
        <w:rPr>
          <w:rFonts w:ascii="Times New Roman" w:eastAsia="宋体" w:hAnsi="Times New Roman" w:cs="Times New Roman"/>
        </w:rPr>
        <w:t>世纪的英国学者马修</w:t>
      </w:r>
      <w:r>
        <w:rPr>
          <w:rFonts w:ascii="Times New Roman" w:eastAsia="宋体" w:hAnsi="Times New Roman" w:cs="Times New Roman"/>
        </w:rPr>
        <w:t>·</w:t>
      </w:r>
      <w:r>
        <w:rPr>
          <w:rFonts w:ascii="Times New Roman" w:eastAsia="宋体" w:hAnsi="Times New Roman" w:cs="Times New Roman"/>
        </w:rPr>
        <w:t>帕里斯在《大编年史》中记载</w:t>
      </w:r>
      <w:r w:rsidR="00C204DF"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市民们组建行会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规范手工业生产与商业交易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城市的市场上不仅有本地的农产品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还出现了来自佛兰德的毛织品、意大利的香料。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这则材料反映出中世纪西欧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封君封臣制度</w:t>
      </w:r>
      <w:r>
        <w:rPr>
          <w:rFonts w:ascii="Times New Roman" w:eastAsia="宋体" w:hAnsi="Times New Roman" w:cs="Times New Roman"/>
        </w:rPr>
        <w:t>的强化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城市的商品经济发展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庄园经济占主导地位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王权与教</w:t>
      </w:r>
      <w:r>
        <w:rPr>
          <w:rFonts w:ascii="Times New Roman" w:eastAsia="宋体" w:hAnsi="Times New Roman" w:cs="Times New Roman"/>
        </w:rPr>
        <w:t>权矛盾</w:t>
      </w:r>
      <w:r>
        <w:rPr>
          <w:rFonts w:ascii="Times New Roman" w:eastAsia="宋体" w:hAnsi="Times New Roman" w:cs="Times New Roman"/>
        </w:rPr>
        <w:t>尖锐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315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 xml:space="preserve">13 </w:t>
      </w:r>
      <w:r>
        <w:rPr>
          <w:rFonts w:ascii="Times New Roman" w:eastAsia="黑体" w:hAnsi="Times New Roman" w:cs="Times New Roman"/>
        </w:rPr>
        <w:t>世纪英国学者记载的城市行会与跨地区贸易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展现了中世纪城市商品经济的突破。行会不仅规范生产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如质量标准、学徒制度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更通过垄断经营保护市民利益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自我规制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是城市应对封建无序的自发机制。市场上出现的佛兰德毛织品、意大利香料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说明城市已打破庄园经济的封闭性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形成区域性商业网络。这种跨地区贸易催生了专业商人阶层和信用工具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如汇票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推动货币经济取代实物交换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为</w:t>
      </w:r>
      <w:r>
        <w:rPr>
          <w:rFonts w:ascii="Times New Roman" w:eastAsia="黑体" w:hAnsi="Times New Roman" w:cs="Times New Roman"/>
        </w:rPr>
        <w:t xml:space="preserve"> 14 </w:t>
      </w:r>
      <w:r>
        <w:rPr>
          <w:rFonts w:ascii="Times New Roman" w:eastAsia="黑体" w:hAnsi="Times New Roman" w:cs="Times New Roman"/>
        </w:rPr>
        <w:t>世纪资本主义萌芽奠定基础。同时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贸易需求也促使城市争取自治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因为封建关卡和司法权阻碍商业效率。</w:t>
      </w:r>
    </w:p>
    <w:p w:rsidR="00993980" w:rsidP="00C204DF">
      <w:pPr>
        <w:spacing w:line="360" w:lineRule="auto"/>
        <w:ind w:left="315" w:hanging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3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12</w:t>
      </w:r>
      <w:r>
        <w:rPr>
          <w:rFonts w:ascii="Times New Roman" w:eastAsia="宋体" w:hAnsi="Times New Roman" w:cs="Times New Roman"/>
        </w:rPr>
        <w:t>世纪中期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西欧文献中记载</w:t>
      </w:r>
      <w:r w:rsidR="00C204DF"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赋予图尔市市民在过往的法兰西历代国王统治时期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所享有的豁免权及特定法规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得以延续。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该材料体现的是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雅典实行民主政治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西欧确立</w:t>
      </w:r>
      <w:r>
        <w:rPr>
          <w:rFonts w:ascii="Times New Roman" w:eastAsia="宋体" w:hAnsi="Times New Roman" w:cs="Times New Roman"/>
        </w:rPr>
        <w:t>封君封臣制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城市获得自治特权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大学拥有免赋税特权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315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 xml:space="preserve">12 </w:t>
      </w:r>
      <w:r>
        <w:rPr>
          <w:rFonts w:ascii="Times New Roman" w:eastAsia="黑体" w:hAnsi="Times New Roman" w:cs="Times New Roman"/>
        </w:rPr>
        <w:t>世纪中期西欧文献中关于图尔市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豁免权及特定法规延续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的记载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体现了城市自治的</w:t>
      </w:r>
      <w:r>
        <w:rPr>
          <w:rFonts w:ascii="Times New Roman" w:eastAsia="黑体" w:hAnsi="Times New Roman" w:cs="Times New Roman"/>
        </w:rPr>
        <w:t>法律基础。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豁免权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通常包括免税、自主司法等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是国王或领主颁发的特许状赋予的特权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实质是用法律形式确认城市与封建主的权利边界。这种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法律化自治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不同于暴力夺权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反映了中世纪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王在法下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的传统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即使是封建君主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也需通过颁发特许状确认城市权利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而非随意剥夺。图尔市的案例说明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城市通过长期博弈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将惯例转化为成文法规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形成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城市法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体系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成为近代商法的源头。</w:t>
      </w:r>
    </w:p>
    <w:p w:rsidR="00993980" w:rsidP="00C204DF">
      <w:pPr>
        <w:spacing w:line="360" w:lineRule="auto"/>
        <w:ind w:left="315" w:hanging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4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1432</w:t>
      </w:r>
      <w:r>
        <w:rPr>
          <w:rFonts w:ascii="Times New Roman" w:eastAsia="宋体" w:hAnsi="Times New Roman" w:cs="Times New Roman"/>
        </w:rPr>
        <w:t>年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博洛尼亚大学章程中明确规定</w:t>
      </w:r>
      <w:r w:rsidR="00C204DF"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>任何情况下</w:t>
      </w:r>
      <w:r>
        <w:rPr>
          <w:rFonts w:ascii="Times New Roman" w:eastAsia="宋体" w:hAnsi="Times New Roman" w:cs="Times New Roman"/>
        </w:rPr>
        <w:t>……</w:t>
      </w:r>
      <w:r>
        <w:rPr>
          <w:rFonts w:ascii="Times New Roman" w:eastAsia="宋体" w:hAnsi="Times New Roman" w:cs="Times New Roman"/>
        </w:rPr>
        <w:t>地方政府无权擅自逮捕扣押学生。即便学生因携带武器遭到当局指控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大学也有权将其保释。这一规定表明中世纪的大学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2078"/>
          <w:tab w:val="left" w:pos="4156"/>
          <w:tab w:val="left" w:pos="6234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拥有免赋税特权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章程体系</w:t>
      </w:r>
      <w:r>
        <w:rPr>
          <w:rFonts w:ascii="Times New Roman" w:eastAsia="宋体" w:hAnsi="Times New Roman" w:cs="Times New Roman"/>
        </w:rPr>
        <w:t>完善</w:t>
      </w:r>
      <w:r>
        <w:rPr>
          <w:rFonts w:ascii="Times New Roman" w:eastAsia="宋体" w:hAnsi="Times New Roman" w:cs="Times New Roman"/>
        </w:rPr>
        <w:tab/>
      </w: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教育自主性强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享有司法特权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315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 xml:space="preserve">1432 </w:t>
      </w:r>
      <w:r>
        <w:rPr>
          <w:rFonts w:ascii="Times New Roman" w:eastAsia="黑体" w:hAnsi="Times New Roman" w:cs="Times New Roman"/>
        </w:rPr>
        <w:t>年博洛尼亚大学章程中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地方政府无权逮捕学生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的规定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凸显了中世纪大学的司法特权。这种特权源于教会庇护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早期大学附属于教会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师生享有神职人员待遇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如免受世俗审判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。章程中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大学有权保释学生</w:t>
      </w:r>
      <w:r>
        <w:rPr>
          <w:rFonts w:ascii="Times New Roman" w:eastAsia="黑体" w:hAnsi="Times New Roman" w:cs="Times New Roman"/>
        </w:rPr>
        <w:t>”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表明其司法权已超越教会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形成相对独立的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学术法庭</w:t>
      </w:r>
      <w:r>
        <w:rPr>
          <w:rFonts w:ascii="Times New Roman" w:eastAsia="黑体" w:hAnsi="Times New Roman" w:cs="Times New Roman"/>
        </w:rPr>
        <w:t>”</w:t>
      </w:r>
      <w:r>
        <w:rPr>
          <w:rFonts w:ascii="Times New Roman" w:eastAsia="黑体" w:hAnsi="Times New Roman" w:cs="Times New Roman"/>
        </w:rPr>
        <w:t>。这种特权不仅保护师生免受地方势力欺压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更培育了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学术自由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的雏形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大学可自主裁决内部纠纷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不受世俗干预。但需注意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这种特权是有限的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大学仍需服从教皇和国王的权威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神学课程仍</w:t>
      </w:r>
      <w:r>
        <w:rPr>
          <w:rFonts w:ascii="Times New Roman" w:eastAsia="黑体" w:hAnsi="Times New Roman" w:cs="Times New Roman"/>
        </w:rPr>
        <w:t>占核心</w:t>
      </w:r>
      <w:r>
        <w:rPr>
          <w:rFonts w:ascii="Times New Roman" w:eastAsia="黑体" w:hAnsi="Times New Roman" w:cs="Times New Roman"/>
        </w:rPr>
        <w:t>地位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反映了宗教与世俗的妥协。</w:t>
      </w:r>
    </w:p>
    <w:p w:rsidR="00993980" w:rsidP="00C204DF">
      <w:pPr>
        <w:spacing w:line="360" w:lineRule="auto"/>
        <w:ind w:left="315" w:hanging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5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1130</w:t>
      </w:r>
      <w:r>
        <w:rPr>
          <w:rFonts w:ascii="Times New Roman" w:eastAsia="宋体" w:hAnsi="Times New Roman" w:cs="Times New Roman"/>
        </w:rPr>
        <w:t>年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英王亨利一世给伦敦颁发的特许状规定</w:t>
      </w:r>
      <w:r w:rsidR="00C204DF"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伦敦负责城市财务和司法事务的城市司法官员由市民选举产生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伦敦通过民众大会和都市法院的小法庭行使司法管辖权</w:t>
      </w:r>
      <w:r>
        <w:rPr>
          <w:rFonts w:ascii="Times New Roman" w:eastAsia="宋体" w:hAnsi="Times New Roman" w:cs="Times New Roman"/>
        </w:rPr>
        <w:t>……”</w:t>
      </w:r>
      <w:r>
        <w:rPr>
          <w:rFonts w:ascii="Times New Roman" w:eastAsia="宋体" w:hAnsi="Times New Roman" w:cs="Times New Roman"/>
        </w:rPr>
        <w:t>由此可知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伦敦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完全摆脱了国王和领主的控制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资本主义经济开始萌芽与发展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成为英国最大的商业贸易城市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拥有一定程度的自由与自治权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315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 xml:space="preserve">1130 </w:t>
      </w:r>
      <w:r>
        <w:rPr>
          <w:rFonts w:ascii="Times New Roman" w:eastAsia="黑体" w:hAnsi="Times New Roman" w:cs="Times New Roman"/>
        </w:rPr>
        <w:t>年英王亨利一世给伦敦的特许状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揭示了城市自治的具体运作。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市民选举司法官员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打破了领主对司法的垄断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民众大会行使管辖权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则体现了城市的民主雏形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尽管参与者仅限男性市民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但已突破封建等级的单向统治。伦敦的案例表明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城市自治不是否定王权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而是通过效忠换取特权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如亨利一世需要城市支持对抗贵族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形成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王权</w:t>
      </w:r>
      <w:r>
        <w:rPr>
          <w:rFonts w:ascii="Times New Roman" w:eastAsia="黑体" w:hAnsi="Times New Roman" w:cs="Times New Roman"/>
        </w:rPr>
        <w:t xml:space="preserve"> - </w:t>
      </w:r>
      <w:r>
        <w:rPr>
          <w:rFonts w:ascii="Times New Roman" w:eastAsia="黑体" w:hAnsi="Times New Roman" w:cs="Times New Roman"/>
        </w:rPr>
        <w:t>城市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联盟。这种联盟在</w:t>
      </w:r>
      <w:r>
        <w:rPr>
          <w:rFonts w:ascii="Times New Roman" w:eastAsia="黑体" w:hAnsi="Times New Roman" w:cs="Times New Roman"/>
        </w:rPr>
        <w:t xml:space="preserve"> 13 </w:t>
      </w:r>
      <w:r>
        <w:rPr>
          <w:rFonts w:ascii="Times New Roman" w:eastAsia="黑体" w:hAnsi="Times New Roman" w:cs="Times New Roman"/>
        </w:rPr>
        <w:t>世纪后逐渐强化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推动英国议会制发展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市民代表进入议会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成为限制王权的重要力量。</w:t>
      </w:r>
    </w:p>
    <w:p w:rsidR="00993980" w:rsidP="00C204DF">
      <w:pPr>
        <w:spacing w:line="360" w:lineRule="auto"/>
        <w:ind w:left="315" w:hanging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6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十一世纪后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西欧多地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由于买主的数目大增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农民确信他们拿到市场去的农产品可以卖掉。他们积极耕翻以前任其荒芜的土地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这样使得他们能够赚钱积蓄和过着愈勤劳愈舒适的生活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。这主要得益于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封建王国日益强大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工商业及城市兴起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资本主义经济发展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庄园主愈发的仁慈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315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 xml:space="preserve">11 </w:t>
      </w:r>
      <w:r>
        <w:rPr>
          <w:rFonts w:ascii="Times New Roman" w:eastAsia="黑体" w:hAnsi="Times New Roman" w:cs="Times New Roman"/>
        </w:rPr>
        <w:t>世纪后西欧农民因市场需求扩大而积极耕作的现象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反映了城市兴起对农村的经济辐射。城市人口增长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如工匠、商人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催生对粮食和原料的需求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使农产品商业化成为可能。农民通过出售剩</w:t>
      </w:r>
      <w:r>
        <w:rPr>
          <w:rFonts w:ascii="Times New Roman" w:eastAsia="黑体" w:hAnsi="Times New Roman" w:cs="Times New Roman"/>
        </w:rPr>
        <w:t>余产品获得货币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进而赎回人身自由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缴纳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人头税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取代劳役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货币赎身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瓦解了庄园制的人身依附。同时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农民开垦荒地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三圃制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推广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提高产量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反过来支撑城市扩张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形成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城乡互哺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的良性循环。这种变化并非领主仁慈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而是市场规律迫使封建制度调整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体现了经济基础对上层建筑的决定作用。</w:t>
      </w:r>
    </w:p>
    <w:p w:rsidR="00993980" w:rsidP="00C204DF">
      <w:pPr>
        <w:spacing w:line="360" w:lineRule="auto"/>
        <w:ind w:left="315" w:hanging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7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历史社团正在排演话剧《中世纪的一天》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其中有这样一段台词</w:t>
      </w:r>
      <w:r w:rsidR="00C204DF"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感谢城市！我终于摆脱了领主的控制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在这里靠制作马鞍为生。虽然每天工作时间很长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但至少能参加行会。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这段台词反映的是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西欧庄园农业的发展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中世纪城市的兴起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文艺复兴运动的扩展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教会权力不断强化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315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话剧中市民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摆脱领主控制、参加行会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的台词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浓缩了中世纪城市的社会变革。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制作马鞍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表明城市手工业已从庄园副业升级为专业生产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从业者成为自由民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非农奴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。行会作为互助组织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不仅提供经济保护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更成为市民阶层的政治载体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通过集体行动争取城市权利。台词中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工作时间长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反映了早期资本主义的剥削特征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但相比庄园劳役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市民的劳动成果归自己所有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生产积极性更高。这种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自由与剥削并存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的状态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正是中世纪向近代过渡的典型特征。</w:t>
      </w:r>
    </w:p>
    <w:p w:rsidR="00993980" w:rsidP="00C204DF">
      <w:pPr>
        <w:spacing w:line="360" w:lineRule="auto"/>
        <w:ind w:left="315" w:hanging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8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1130</w:t>
      </w:r>
      <w:r>
        <w:rPr>
          <w:rFonts w:ascii="Times New Roman" w:eastAsia="宋体" w:hAnsi="Times New Roman" w:cs="Times New Roman"/>
        </w:rPr>
        <w:t>年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英王亨利一世给伦敦颁发的特许状规定</w:t>
      </w:r>
      <w:r w:rsidR="00C204DF"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伦敦负责城市财务和司法事务的城市司法官员由市民选举产生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伦敦通过民众大会和都市法院的小法庭行使司法管辖权</w:t>
      </w:r>
      <w:r>
        <w:rPr>
          <w:rFonts w:ascii="Times New Roman" w:eastAsia="宋体" w:hAnsi="Times New Roman" w:cs="Times New Roman"/>
        </w:rPr>
        <w:t>……”</w:t>
      </w:r>
      <w:r>
        <w:rPr>
          <w:rFonts w:ascii="Times New Roman" w:eastAsia="宋体" w:hAnsi="Times New Roman" w:cs="Times New Roman"/>
        </w:rPr>
        <w:t>由此可知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伦敦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   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完全摆脱了国王和领主的控制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形成了严格的手工业行会制度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成为英国最大的商业贸易城市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拥有一定程度的自由与自治权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315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 xml:space="preserve">1130 </w:t>
      </w:r>
      <w:r>
        <w:rPr>
          <w:rFonts w:ascii="Times New Roman" w:eastAsia="黑体" w:hAnsi="Times New Roman" w:cs="Times New Roman"/>
        </w:rPr>
        <w:t>年伦敦特许状中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市民选举官员、自主司法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的规定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进一步印证了城市自治的核心是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权利制度化</w:t>
      </w:r>
      <w:r>
        <w:rPr>
          <w:rFonts w:ascii="Times New Roman" w:eastAsia="黑体" w:hAnsi="Times New Roman" w:cs="Times New Roman"/>
        </w:rPr>
        <w:t>”</w:t>
      </w:r>
      <w:r>
        <w:rPr>
          <w:rFonts w:ascii="Times New Roman" w:eastAsia="黑体" w:hAnsi="Times New Roman" w:cs="Times New Roman"/>
        </w:rPr>
        <w:t>。与农村庄园的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习惯法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不同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城市通过特许状将权利明确写入条文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减少了封建主的随意性。例如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伦敦的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都市法院小法庭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专门处理商业纠纷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适用商法而非封建法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这对保护契约关系至关重要。这种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司法专业化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推动了法律体系分化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城市法、商法逐渐独立于教会法和庄园法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为近代法律体系奠定基础。同时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自治也增强了市民的共同体意识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催生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公民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观念的萌芽。</w:t>
      </w:r>
    </w:p>
    <w:p w:rsidR="00993980" w:rsidP="00C204DF">
      <w:pPr>
        <w:spacing w:line="360" w:lineRule="auto"/>
        <w:ind w:left="315" w:hanging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9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“19</w:t>
      </w:r>
      <w:r>
        <w:rPr>
          <w:rFonts w:ascii="Times New Roman" w:eastAsia="宋体" w:hAnsi="Times New Roman" w:cs="Times New Roman"/>
        </w:rPr>
        <w:t>世纪以来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德国推行教育改革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建立由初等学校、中等学校、大学组成的系统教育体系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把文化知识渗透到社会的各个阶层。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此举主要是为了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提高妇女的社会地位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适应工业化发展需要</w:t>
      </w:r>
    </w:p>
    <w:p w:rsidR="00993980" w:rsidP="00C204DF">
      <w:pPr>
        <w:tabs>
          <w:tab w:val="left" w:pos="4156"/>
        </w:tabs>
        <w:spacing w:line="360" w:lineRule="auto"/>
        <w:ind w:left="315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缓解尖锐的社会矛盾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促进人口的快速增长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315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 xml:space="preserve">19 </w:t>
      </w:r>
      <w:r>
        <w:rPr>
          <w:rFonts w:ascii="Times New Roman" w:eastAsia="黑体" w:hAnsi="Times New Roman" w:cs="Times New Roman"/>
        </w:rPr>
        <w:t>世纪德国教育改革建立的系统教育体系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虽时间上不属于中世纪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但可反衬中世纪大学的历史意义。中世纪大学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如巴黎大学、牛津大学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奠定了现代教育的基本结构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基础课程</w:t>
      </w:r>
      <w:r>
        <w:rPr>
          <w:rFonts w:ascii="Times New Roman" w:eastAsia="黑体" w:hAnsi="Times New Roman" w:cs="Times New Roman"/>
        </w:rPr>
        <w:t xml:space="preserve"> + </w:t>
      </w:r>
      <w:r>
        <w:rPr>
          <w:rFonts w:ascii="Times New Roman" w:eastAsia="黑体" w:hAnsi="Times New Roman" w:cs="Times New Roman"/>
        </w:rPr>
        <w:t>专业课程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而</w:t>
      </w:r>
      <w:r>
        <w:rPr>
          <w:rFonts w:ascii="Times New Roman" w:eastAsia="黑体" w:hAnsi="Times New Roman" w:cs="Times New Roman"/>
        </w:rPr>
        <w:t xml:space="preserve"> 19 </w:t>
      </w:r>
      <w:r>
        <w:rPr>
          <w:rFonts w:ascii="Times New Roman" w:eastAsia="黑体" w:hAnsi="Times New Roman" w:cs="Times New Roman"/>
        </w:rPr>
        <w:t>世纪德国改革将其扩展为全民教育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适应工业化需求。这种延续性体现在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中世纪大学打</w:t>
      </w:r>
      <w:r>
        <w:rPr>
          <w:rFonts w:ascii="Times New Roman" w:eastAsia="黑体" w:hAnsi="Times New Roman" w:cs="Times New Roman"/>
        </w:rPr>
        <w:t>破教会垄断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培养世俗人才；德国改革则进一步普及教育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服务于国家工业化。两者都反映了教育与社会发展的互动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中世纪大学为城市商品经济培养簿记、法律人才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 xml:space="preserve">19 </w:t>
      </w:r>
      <w:r>
        <w:rPr>
          <w:rFonts w:ascii="Times New Roman" w:eastAsia="黑体" w:hAnsi="Times New Roman" w:cs="Times New Roman"/>
        </w:rPr>
        <w:t>世纪教育则为工厂培养技术工人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说明教育始终是社会转型的工具。</w:t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10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某学者在《图说欧洲史》一书中谈道</w:t>
      </w:r>
      <w:r w:rsidR="00C204DF"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地方农产品和手工艺品的交易市场逐渐变成经常性的市集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作为工商业交易的集中场所的城市在这种环境下应运而生。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这反映了城市兴起的原因是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人丁兴旺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农业技术提高</w:t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气候适宜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商业贸易发展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学者关于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市集演变为城市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的论断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揭示了城市兴起的经济逻辑。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经常性市集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是商品交换从偶然到常态的标志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当交易频率足够高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商人与工匠便定居下来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形成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市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与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城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的结合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城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为防御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市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为贸易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。这种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因市兴城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模式不同于古代都城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政治中心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体现了中世纪城市的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经济属性</w:t>
      </w:r>
      <w:r>
        <w:rPr>
          <w:rFonts w:ascii="Times New Roman" w:eastAsia="黑体" w:hAnsi="Times New Roman" w:cs="Times New Roman"/>
        </w:rPr>
        <w:t>”</w:t>
      </w:r>
      <w:r>
        <w:rPr>
          <w:rFonts w:ascii="Times New Roman" w:eastAsia="黑体" w:hAnsi="Times New Roman" w:cs="Times New Roman"/>
        </w:rPr>
        <w:t>。例如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意大利威尼斯因地中海贸易兴起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佛兰德斯布鲁日因毛纺织业繁荣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均印证了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商业驱动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是城市兴起的核心动力。这种经济属性使城市天然对抗封建制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因为封建割据和重税阻碍贸易。</w:t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11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《英王亨利二世给予林肯城之特许状》中宣称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任何人在林肯城内按土地保有权购买土地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保有之达一年</w:t>
      </w:r>
      <w:r>
        <w:rPr>
          <w:rFonts w:ascii="Times New Roman" w:eastAsia="宋体" w:hAnsi="Times New Roman" w:cs="Times New Roman"/>
        </w:rPr>
        <w:t>零一</w:t>
      </w:r>
      <w:r>
        <w:rPr>
          <w:rFonts w:ascii="Times New Roman" w:eastAsia="宋体" w:hAnsi="Times New Roman" w:cs="Times New Roman"/>
        </w:rPr>
        <w:t>日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无人反对</w:t>
      </w:r>
      <w:r>
        <w:rPr>
          <w:rFonts w:ascii="Times New Roman" w:eastAsia="宋体" w:hAnsi="Times New Roman" w:cs="Times New Roman"/>
        </w:rPr>
        <w:t>……</w:t>
      </w:r>
      <w:r>
        <w:rPr>
          <w:rFonts w:ascii="Times New Roman" w:eastAsia="宋体" w:hAnsi="Times New Roman" w:cs="Times New Roman"/>
        </w:rPr>
        <w:t>则予将准许此人在将来安然保有此项土地。任何人在林肯城之居留期已达一年</w:t>
      </w:r>
      <w:r>
        <w:rPr>
          <w:rFonts w:ascii="Times New Roman" w:eastAsia="宋体" w:hAnsi="Times New Roman" w:cs="Times New Roman"/>
        </w:rPr>
        <w:t>零一</w:t>
      </w:r>
      <w:r>
        <w:rPr>
          <w:rFonts w:ascii="Times New Roman" w:eastAsia="宋体" w:hAnsi="Times New Roman" w:cs="Times New Roman"/>
        </w:rPr>
        <w:t>日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且已照章纳税</w:t>
      </w:r>
      <w:r>
        <w:rPr>
          <w:rFonts w:ascii="Times New Roman" w:eastAsia="宋体" w:hAnsi="Times New Roman" w:cs="Times New Roman"/>
        </w:rPr>
        <w:t>……</w:t>
      </w:r>
      <w:r>
        <w:rPr>
          <w:rFonts w:ascii="Times New Roman" w:eastAsia="宋体" w:hAnsi="Times New Roman" w:cs="Times New Roman"/>
        </w:rPr>
        <w:t>则予亦将准许彼等与过去一样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继续以市民身份居住于予之林肯城中。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这反映了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罗马帝国不断扩张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西欧</w:t>
      </w:r>
      <w:r>
        <w:rPr>
          <w:rFonts w:ascii="Times New Roman" w:eastAsia="宋体" w:hAnsi="Times New Roman" w:cs="Times New Roman"/>
        </w:rPr>
        <w:t>封君封臣制度</w:t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中世纪城市的兴起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工业时代城市发展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《英王亨利二世给予林肯城之特许状》中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一年</w:t>
      </w:r>
      <w:r>
        <w:rPr>
          <w:rFonts w:ascii="Times New Roman" w:eastAsia="黑体" w:hAnsi="Times New Roman" w:cs="Times New Roman"/>
        </w:rPr>
        <w:t>零一</w:t>
      </w:r>
      <w:r>
        <w:rPr>
          <w:rFonts w:ascii="Times New Roman" w:eastAsia="黑体" w:hAnsi="Times New Roman" w:cs="Times New Roman"/>
        </w:rPr>
        <w:t>日居留权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的规定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是中世纪城市吸引人口的关键政策。农奴若在城市居住满一年</w:t>
      </w:r>
      <w:r>
        <w:rPr>
          <w:rFonts w:ascii="Times New Roman" w:eastAsia="黑体" w:hAnsi="Times New Roman" w:cs="Times New Roman"/>
        </w:rPr>
        <w:t>零一</w:t>
      </w:r>
      <w:r>
        <w:rPr>
          <w:rFonts w:ascii="Times New Roman" w:eastAsia="黑体" w:hAnsi="Times New Roman" w:cs="Times New Roman"/>
        </w:rPr>
        <w:t>日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可获得自由身份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摆脱领主控制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城市空气使人自由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的惯例被写入特许状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成为法律保障。条款中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安然保有土地</w:t>
      </w:r>
      <w:r>
        <w:rPr>
          <w:rFonts w:ascii="Times New Roman" w:eastAsia="黑体" w:hAnsi="Times New Roman" w:cs="Times New Roman"/>
        </w:rPr>
        <w:t>”“</w:t>
      </w:r>
      <w:r>
        <w:rPr>
          <w:rFonts w:ascii="Times New Roman" w:eastAsia="黑体" w:hAnsi="Times New Roman" w:cs="Times New Roman"/>
        </w:rPr>
        <w:t>以市民身份居住</w:t>
      </w:r>
      <w:r>
        <w:rPr>
          <w:rFonts w:ascii="Times New Roman" w:eastAsia="黑体" w:hAnsi="Times New Roman" w:cs="Times New Roman"/>
        </w:rPr>
        <w:t>”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表明城市不仅提供自由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更通过授予土地和</w:t>
      </w:r>
      <w:r>
        <w:rPr>
          <w:rFonts w:ascii="Times New Roman" w:eastAsia="黑体" w:hAnsi="Times New Roman" w:cs="Times New Roman"/>
        </w:rPr>
        <w:t>市民权吸引</w:t>
      </w:r>
      <w:r>
        <w:rPr>
          <w:rFonts w:ascii="Times New Roman" w:eastAsia="黑体" w:hAnsi="Times New Roman" w:cs="Times New Roman"/>
        </w:rPr>
        <w:t>劳动力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充实城市人口。这种政策瓦解了庄园的劳动力束缚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导致农奴逃亡潮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迫使领主改劳役地租为货币地租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加速庄园制崩溃。林肯城的案例说明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城市通过制度创新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而非暴力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瓦解封建经济。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  <w:b/>
          <w:color w:val="0000FF"/>
          <w:kern w:val="0"/>
          <w:sz w:val="28"/>
          <w:szCs w:val="28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752600" cy="323850"/>
            <wp:effectExtent l="0" t="0" r="0" b="0"/>
            <wp:docPr id="9" name="图片 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12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下图</w:t>
      </w:r>
      <w:r w:rsidR="00C204DF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来源</w:t>
      </w:r>
      <w:r w:rsidR="00C204DF">
        <w:rPr>
          <w:rFonts w:ascii="Times New Roman" w:eastAsia="宋体" w:hAnsi="Times New Roman" w:cs="Times New Roman"/>
        </w:rPr>
        <w:t>：</w:t>
      </w:r>
      <w:r>
        <w:rPr>
          <w:rFonts w:ascii="Times New Roman" w:eastAsia="宋体" w:hAnsi="Times New Roman" w:cs="Times New Roman"/>
        </w:rPr>
        <w:t>2024</w:t>
      </w:r>
      <w:r>
        <w:rPr>
          <w:rFonts w:ascii="Times New Roman" w:eastAsia="宋体" w:hAnsi="Times New Roman" w:cs="Times New Roman"/>
        </w:rPr>
        <w:t>年版义务教育教科书《世界历史》九年级上册第</w:t>
      </w:r>
      <w:r>
        <w:rPr>
          <w:rFonts w:ascii="Times New Roman" w:eastAsia="宋体" w:hAnsi="Times New Roman" w:cs="Times New Roman"/>
        </w:rPr>
        <w:t>45</w:t>
      </w:r>
      <w:r>
        <w:rPr>
          <w:rFonts w:ascii="Times New Roman" w:eastAsia="宋体" w:hAnsi="Times New Roman" w:cs="Times New Roman"/>
        </w:rPr>
        <w:t>页</w:t>
      </w:r>
      <w:r w:rsidR="00C204DF"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所示的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大学</w:t>
      </w:r>
      <w:r>
        <w:rPr>
          <w:rFonts w:ascii="Times New Roman" w:eastAsia="宋体" w:hAnsi="Times New Roman" w:cs="Times New Roman"/>
        </w:rPr>
        <w:t>”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2009775" cy="1600200"/>
            <wp:effectExtent l="0" t="0" r="9525" b="0"/>
            <wp:docPr id="100003" name="图片 10000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中世纪大学课堂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兴起于欧洲文艺复兴运动时期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只有基础课程而没有专业课程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课程设置受到基督教会的影响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未反映经济和社会的发展要求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中世纪大学课堂的场景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需结合课程设置分析其双重性。画面中师生讨论的可能包括文法、逻辑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基础课程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和神学、法学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专业课程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反映大学仍受教会影响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神学是核心课程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教材多为教会认可的古典著作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如亚里士多德</w:t>
      </w:r>
      <w:r>
        <w:rPr>
          <w:rFonts w:ascii="Times New Roman" w:eastAsia="黑体" w:hAnsi="Times New Roman" w:cs="Times New Roman"/>
        </w:rPr>
        <w:t>著作经托马</w:t>
      </w:r>
      <w:r>
        <w:rPr>
          <w:rFonts w:ascii="Times New Roman" w:eastAsia="黑体" w:hAnsi="Times New Roman" w:cs="Times New Roman"/>
        </w:rPr>
        <w:t>斯・阿奎那神学化解读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。但同时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大学也保留了世俗学科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如医学、罗马法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培养法官、医生等专业人才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服务于城市和王权需求。这种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宗教与世俗并存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的课程设置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体现了大学作为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知识中介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的角色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既传承基督教文化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又为世俗社会提供智力支持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为文艺复兴时期的思想解放埋下伏笔。</w:t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13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如下图为古代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三兔共耳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图案</w:t>
      </w:r>
      <w:r>
        <w:rPr>
          <w:rFonts w:ascii="Times New Roman" w:eastAsia="宋体" w:hAnsi="Times New Roman" w:cs="Times New Roman"/>
        </w:rPr>
        <w:t>——</w:t>
      </w:r>
      <w:r>
        <w:rPr>
          <w:rFonts w:ascii="Times New Roman" w:eastAsia="宋体" w:hAnsi="Times New Roman" w:cs="Times New Roman"/>
        </w:rPr>
        <w:t>三只循环追逐的兔子共用三只耳朵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彼此朝着同一个方向跳跃、奔跑。这个图案最早出现于敦煌莫高窟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后来也出现于</w:t>
      </w:r>
      <w:r>
        <w:rPr>
          <w:rFonts w:ascii="Times New Roman" w:eastAsia="宋体" w:hAnsi="Times New Roman" w:cs="Times New Roman"/>
        </w:rPr>
        <w:t>13</w:t>
      </w:r>
      <w:r>
        <w:rPr>
          <w:rFonts w:ascii="Times New Roman" w:eastAsia="宋体" w:hAnsi="Times New Roman" w:cs="Times New Roman"/>
        </w:rPr>
        <w:t>世纪埃及、叙利亚的彩陶上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以及中世纪欧洲教堂的屋顶浮雕与金属圣器上。这可以佐证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190625" cy="1152525"/>
            <wp:effectExtent l="0" t="0" r="9525" b="9525"/>
            <wp:docPr id="100005" name="图片 10000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世界文明具有多元一体的特征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亚非</w:t>
      </w:r>
      <w:r>
        <w:rPr>
          <w:rFonts w:ascii="Times New Roman" w:eastAsia="宋体" w:hAnsi="Times New Roman" w:cs="Times New Roman"/>
        </w:rPr>
        <w:t>欧区域</w:t>
      </w:r>
      <w:r>
        <w:rPr>
          <w:rFonts w:ascii="Times New Roman" w:eastAsia="宋体" w:hAnsi="Times New Roman" w:cs="Times New Roman"/>
        </w:rPr>
        <w:t>文明相互交流影响</w:t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全球各地的文化符号大同小异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古代社会重视动物的生存环境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三兔共耳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图案在欧亚非的传播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是中世纪</w:t>
      </w:r>
      <w:r>
        <w:rPr>
          <w:rFonts w:ascii="Times New Roman" w:eastAsia="黑体" w:hAnsi="Times New Roman" w:cs="Times New Roman"/>
        </w:rPr>
        <w:t>跨文明</w:t>
      </w:r>
      <w:r>
        <w:rPr>
          <w:rFonts w:ascii="Times New Roman" w:eastAsia="黑体" w:hAnsi="Times New Roman" w:cs="Times New Roman"/>
        </w:rPr>
        <w:t>交流的生动例证。图案从中国敦煌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 xml:space="preserve">7-8 </w:t>
      </w:r>
      <w:r>
        <w:rPr>
          <w:rFonts w:ascii="Times New Roman" w:eastAsia="黑体" w:hAnsi="Times New Roman" w:cs="Times New Roman"/>
        </w:rPr>
        <w:t>世纪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传到埃及、叙利亚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 xml:space="preserve">13 </w:t>
      </w:r>
      <w:r>
        <w:rPr>
          <w:rFonts w:ascii="Times New Roman" w:eastAsia="黑体" w:hAnsi="Times New Roman" w:cs="Times New Roman"/>
        </w:rPr>
        <w:t>世纪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再到欧洲教堂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反映了陆上丝绸之路的文化纽带作用。这种传播可能通过商人、传教士或战争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如十字军东征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实现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虽具体</w:t>
      </w:r>
      <w:r>
        <w:rPr>
          <w:rFonts w:ascii="Times New Roman" w:eastAsia="黑体" w:hAnsi="Times New Roman" w:cs="Times New Roman"/>
        </w:rPr>
        <w:t>路径不明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但证明中世纪并非完全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黑</w:t>
      </w:r>
      <w:r>
        <w:rPr>
          <w:rFonts w:ascii="Times New Roman" w:eastAsia="黑体" w:hAnsi="Times New Roman" w:cs="Times New Roman"/>
        </w:rPr>
        <w:t>暗</w:t>
      </w:r>
      <w:r>
        <w:rPr>
          <w:rFonts w:ascii="Times New Roman" w:eastAsia="黑体" w:hAnsi="Times New Roman" w:cs="Times New Roman"/>
        </w:rPr>
        <w:t>”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而是存在持续的文明互动。图案的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循环追逐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象征永恒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被不同文明接纳并赋予本土意义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如欧洲教堂中象征三位一体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体现了文化传播中的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本土化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改造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外来符号需适应本地信仰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才能被接受和传播。</w:t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14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下面这幅</w:t>
      </w:r>
      <w:r>
        <w:rPr>
          <w:rFonts w:ascii="Times New Roman" w:eastAsia="宋体" w:hAnsi="Times New Roman" w:cs="Times New Roman"/>
        </w:rPr>
        <w:t>15</w:t>
      </w:r>
      <w:r>
        <w:rPr>
          <w:rFonts w:ascii="Times New Roman" w:eastAsia="宋体" w:hAnsi="Times New Roman" w:cs="Times New Roman"/>
        </w:rPr>
        <w:t>世纪的微型</w:t>
      </w:r>
      <w:r>
        <w:rPr>
          <w:rFonts w:ascii="Times New Roman" w:eastAsia="宋体" w:hAnsi="Times New Roman" w:cs="Times New Roman"/>
        </w:rPr>
        <w:t>画记录</w:t>
      </w:r>
      <w:r>
        <w:rPr>
          <w:rFonts w:ascii="Times New Roman" w:eastAsia="宋体" w:hAnsi="Times New Roman" w:cs="Times New Roman"/>
        </w:rPr>
        <w:t>了佛来芒公社接到城市特许状时的情景。城市特许状中的内容应该是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762125" cy="1533525"/>
            <wp:effectExtent l="0" t="0" r="9525" b="9525"/>
            <wp:docPr id="100007" name="图片 10000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公民大会的决议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封臣的</w:t>
      </w:r>
      <w:r>
        <w:rPr>
          <w:rFonts w:ascii="Times New Roman" w:eastAsia="宋体" w:hAnsi="Times New Roman" w:cs="Times New Roman"/>
        </w:rPr>
        <w:t>义务和权利</w:t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大学获得自治地位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城市取得部分自由与自治权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 xml:space="preserve">15 </w:t>
      </w:r>
      <w:r>
        <w:rPr>
          <w:rFonts w:ascii="Times New Roman" w:eastAsia="黑体" w:hAnsi="Times New Roman" w:cs="Times New Roman"/>
        </w:rPr>
        <w:t>世纪佛来芒公社接到城市特许状的微型画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展现了城市自治的仪式性。画面中公社代表从领主或国王手中接过特许状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象征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权利的合法性授予</w:t>
      </w:r>
      <w:r>
        <w:rPr>
          <w:rFonts w:ascii="Times New Roman" w:eastAsia="黑体" w:hAnsi="Times New Roman" w:cs="Times New Roman"/>
        </w:rPr>
        <w:t>”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这种仪式强化了自治的神圣性。特许状内容通常包括免税、自主管理、垄断贸易等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是城市用金钱或效忠换来的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契约证明</w:t>
      </w:r>
      <w:r>
        <w:rPr>
          <w:rFonts w:ascii="Times New Roman" w:eastAsia="黑体" w:hAnsi="Times New Roman" w:cs="Times New Roman"/>
        </w:rPr>
        <w:t>”</w:t>
      </w:r>
      <w:r>
        <w:rPr>
          <w:rFonts w:ascii="Times New Roman" w:eastAsia="黑体" w:hAnsi="Times New Roman" w:cs="Times New Roman"/>
        </w:rPr>
        <w:t>。佛来芒地区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今比利时、法国北部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因毛纺织业发达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城市自治需求强烈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特许状中的条款可能更侧重商业自由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如免除过境税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。这种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仪式化授权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反映了中世纪的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象征政治</w:t>
      </w:r>
      <w:r>
        <w:rPr>
          <w:rFonts w:ascii="Times New Roman" w:eastAsia="黑体" w:hAnsi="Times New Roman" w:cs="Times New Roman"/>
        </w:rPr>
        <w:t xml:space="preserve">”—— </w:t>
      </w:r>
      <w:r>
        <w:rPr>
          <w:rFonts w:ascii="Times New Roman" w:eastAsia="黑体" w:hAnsi="Times New Roman" w:cs="Times New Roman"/>
        </w:rPr>
        <w:t>权力不仅通过武力维持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更需通过仪式和文书确认。</w:t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15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行会是欧洲中世纪时期城市同行业者建立的一种组织。如图是当时部分行会的徽章。这些徽章可以佐证当时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   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4029075" cy="1657350"/>
            <wp:effectExtent l="0" t="0" r="9525" b="0"/>
            <wp:docPr id="100009" name="图片 10000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4DF" w:rsidP="00C204DF">
      <w:pPr>
        <w:tabs>
          <w:tab w:val="left" w:pos="2078"/>
          <w:tab w:val="left" w:pos="4156"/>
          <w:tab w:val="left" w:pos="6234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自治城市走向联合</w:t>
      </w: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手工行业类别多样</w:t>
      </w:r>
    </w:p>
    <w:p w:rsidR="00993980" w:rsidP="00C204DF">
      <w:pPr>
        <w:tabs>
          <w:tab w:val="left" w:pos="2078"/>
          <w:tab w:val="left" w:pos="4156"/>
          <w:tab w:val="left" w:pos="6234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封君封臣等级</w:t>
      </w:r>
      <w:r>
        <w:rPr>
          <w:rFonts w:ascii="Times New Roman" w:eastAsia="宋体" w:hAnsi="Times New Roman" w:cs="Times New Roman"/>
        </w:rPr>
        <w:t>森严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封建势力急剧衰落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中世纪行会徽章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裁缝、酿酒、面包师、铁匠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是城市手工业分工的直观证据。徽章上</w:t>
      </w:r>
      <w:r>
        <w:rPr>
          <w:rFonts w:ascii="Times New Roman" w:eastAsia="黑体" w:hAnsi="Times New Roman" w:cs="Times New Roman"/>
        </w:rPr>
        <w:t>的职业符号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如裁缝的剪刀、铁匠的铁锤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不仅是身份标识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更通过图案传递行业荣誉和质量承诺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类似现代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品牌标识</w:t>
      </w:r>
      <w:r>
        <w:rPr>
          <w:rFonts w:ascii="Times New Roman" w:eastAsia="黑体" w:hAnsi="Times New Roman" w:cs="Times New Roman"/>
        </w:rPr>
        <w:t>”</w:t>
      </w:r>
      <w:r>
        <w:rPr>
          <w:rFonts w:ascii="Times New Roman" w:eastAsia="黑体" w:hAnsi="Times New Roman" w:cs="Times New Roman"/>
        </w:rPr>
        <w:t>。行会通过统一徽章强化成员认同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同时向消费者传递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可追溯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信号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若产品质量问题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可通过徽章追溯到行会责任。这种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集体信誉机制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是前现代社会应对信息不对称的智慧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也限制了自由竞争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如禁止非行会成员经营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。徽章的多样性表明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城市已形成完整的手工业体系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从食品加工到金属制造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满足市民生活需求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摆脱对农村的依赖。</w:t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16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13</w:t>
      </w:r>
      <w:r>
        <w:rPr>
          <w:rFonts w:ascii="Times New Roman" w:eastAsia="宋体" w:hAnsi="Times New Roman" w:cs="Times New Roman"/>
        </w:rPr>
        <w:t>世纪初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牛津大学形成。右图为牛津大学校徽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校徽由三顶王冠和一本展开的书组成。书上用拉丁文写着《圣经》的一句话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主照亮我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。据此可以推断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1000125" cy="1171575"/>
            <wp:effectExtent l="0" t="0" r="9525" b="9525"/>
            <wp:docPr id="100011" name="图片 10001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国王兼任中世纪大学校长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基督教影响中世纪文化教育</w:t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世俗文化的发展受到阻碍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中世纪大学脱离教会控制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牛津大学校徽中的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三顶王冠和《圣经》</w:t>
      </w:r>
      <w:r>
        <w:rPr>
          <w:rFonts w:ascii="Times New Roman" w:eastAsia="黑体" w:hAnsi="Times New Roman" w:cs="Times New Roman"/>
        </w:rPr>
        <w:t>”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揭示了中世纪大学的双重效忠。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三顶王冠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通常象征英格兰王权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表明大学与世俗政权的联系；《圣经》引文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主照亮我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则体现教会影响。这种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双元象征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反映了大学的尴尬定位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既需国王资助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如土地、特权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又需教会认可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神学合法性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。</w:t>
      </w:r>
      <w:r>
        <w:rPr>
          <w:rFonts w:ascii="Times New Roman" w:eastAsia="黑体" w:hAnsi="Times New Roman" w:cs="Times New Roman"/>
        </w:rPr>
        <w:t xml:space="preserve">13 </w:t>
      </w:r>
      <w:r>
        <w:rPr>
          <w:rFonts w:ascii="Times New Roman" w:eastAsia="黑体" w:hAnsi="Times New Roman" w:cs="Times New Roman"/>
        </w:rPr>
        <w:t>世纪的牛津大学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虽因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思想异端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与教会冲突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</w:t>
      </w:r>
      <w:r>
        <w:rPr>
          <w:rFonts w:ascii="Times New Roman" w:eastAsia="黑体" w:hAnsi="Times New Roman" w:cs="Times New Roman"/>
        </w:rPr>
        <w:t xml:space="preserve"> 1229 </w:t>
      </w:r>
      <w:r>
        <w:rPr>
          <w:rFonts w:ascii="Times New Roman" w:eastAsia="黑体" w:hAnsi="Times New Roman" w:cs="Times New Roman"/>
        </w:rPr>
        <w:t>年学生与市民冲突后迁校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但仍将宗教符号置于校徽核心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说明神学仍是不可动摇的学科基础。这种妥协为大学争取到生存空间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使其在宗教与世俗的夹缝中发展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最终成为文艺复兴的知识摇篮。</w:t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17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中古时期西欧社会结构变化</w:t>
      </w:r>
      <w:r w:rsidR="00C204DF">
        <w:rPr>
          <w:rFonts w:ascii="Times New Roman" w:eastAsia="宋体" w:hAnsi="Times New Roman" w:cs="Times New Roman"/>
        </w:rPr>
        <w:t>（</w:t>
      </w:r>
      <w:r>
        <w:rPr>
          <w:rFonts w:ascii="Times New Roman" w:eastAsia="宋体" w:hAnsi="Times New Roman" w:cs="Times New Roman"/>
        </w:rPr>
        <w:t>如图</w:t>
      </w:r>
      <w:r w:rsidR="00C204DF">
        <w:rPr>
          <w:rFonts w:ascii="Times New Roman" w:eastAsia="宋体" w:hAnsi="Times New Roman" w:cs="Times New Roman"/>
        </w:rPr>
        <w:t>）</w:t>
      </w:r>
      <w:r>
        <w:rPr>
          <w:rFonts w:ascii="Times New Roman" w:eastAsia="宋体" w:hAnsi="Times New Roman" w:cs="Times New Roman"/>
        </w:rPr>
        <w:t>的主要原因是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C204DF" w:rsidP="00C204DF">
      <w:pPr>
        <w:spacing w:line="360" w:lineRule="auto"/>
        <w:ind w:left="420"/>
        <w:jc w:val="left"/>
        <w:textAlignment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5153025" cy="2105025"/>
            <wp:effectExtent l="0" t="0" r="9525" b="9525"/>
            <wp:docPr id="100013" name="图片 100013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spacing w:line="360" w:lineRule="auto"/>
        <w:ind w:left="420" w:firstLine="840" w:firstLineChars="400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封君</w:t>
      </w:r>
      <w:r>
        <w:rPr>
          <w:rFonts w:ascii="Times New Roman" w:eastAsia="宋体" w:hAnsi="Times New Roman" w:cs="Times New Roman"/>
        </w:rPr>
        <w:t>封臣制</w:t>
      </w:r>
      <w:r>
        <w:rPr>
          <w:rFonts w:ascii="Times New Roman" w:eastAsia="宋体" w:hAnsi="Times New Roman" w:cs="Times New Roman"/>
        </w:rPr>
        <w:t>等级结构示意图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          </w:t>
      </w:r>
      <w:r w:rsidR="00C204DF">
        <w:rPr>
          <w:rFonts w:ascii="Times New Roman" w:hAnsi="Times New Roman" w:cs="Times New Roman" w:hint="eastAsia"/>
          <w:kern w:val="0"/>
          <w:sz w:val="24"/>
          <w:szCs w:val="24"/>
        </w:rPr>
        <w:t xml:space="preserve">     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/>
        </w:rPr>
        <w:t>等级君主制示意图</w:t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大学兴起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庄园出现</w:t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商品经济发展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货币地租流行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从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封君封臣制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到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等级君主制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的结构变化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反映了城市兴起对西欧政治的重塑。封君</w:t>
      </w:r>
      <w:r>
        <w:rPr>
          <w:rFonts w:ascii="Times New Roman" w:eastAsia="黑体" w:hAnsi="Times New Roman" w:cs="Times New Roman"/>
        </w:rPr>
        <w:t>封臣制</w:t>
      </w:r>
      <w:r>
        <w:rPr>
          <w:rFonts w:ascii="Times New Roman" w:eastAsia="黑体" w:hAnsi="Times New Roman" w:cs="Times New Roman"/>
        </w:rPr>
        <w:t>中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权力分散于各级领主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国王权威有限；等级君主制中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城市市民代表进入议会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如英国议会、法国三级会议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与国王、贵族形成制衡。这种变化的核心动力是商品经济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国王需要城市的财政支持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如税收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对抗封建割据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城市则需要国王保护其自治权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双方形成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王权</w:t>
      </w:r>
      <w:r>
        <w:rPr>
          <w:rFonts w:ascii="Times New Roman" w:eastAsia="黑体" w:hAnsi="Times New Roman" w:cs="Times New Roman"/>
        </w:rPr>
        <w:t xml:space="preserve"> - </w:t>
      </w:r>
      <w:r>
        <w:rPr>
          <w:rFonts w:ascii="Times New Roman" w:eastAsia="黑体" w:hAnsi="Times New Roman" w:cs="Times New Roman"/>
        </w:rPr>
        <w:t>城市联盟</w:t>
      </w:r>
      <w:r>
        <w:rPr>
          <w:rFonts w:ascii="Times New Roman" w:eastAsia="黑体" w:hAnsi="Times New Roman" w:cs="Times New Roman"/>
        </w:rPr>
        <w:t>”</w:t>
      </w:r>
      <w:r>
        <w:rPr>
          <w:rFonts w:ascii="Times New Roman" w:eastAsia="黑体" w:hAnsi="Times New Roman" w:cs="Times New Roman"/>
        </w:rPr>
        <w:t>。市民阶层的政治参与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打破了贵族对权力的垄断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为近代代议制奠定基础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图示中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城市市民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作为独立等级出现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标志着封建等级制的松动。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  <w:noProof/>
        </w:rPr>
        <w:drawing>
          <wp:inline distT="0" distB="0" distL="0" distR="0">
            <wp:extent cx="1781175" cy="342900"/>
            <wp:effectExtent l="0" t="0" r="9525" b="0"/>
            <wp:docPr id="1" name="图片 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18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下图为</w:t>
      </w:r>
      <w:r>
        <w:rPr>
          <w:rFonts w:ascii="Times New Roman" w:eastAsia="宋体" w:hAnsi="Times New Roman" w:cs="Times New Roman"/>
        </w:rPr>
        <w:t>11—15</w:t>
      </w:r>
      <w:r>
        <w:rPr>
          <w:rFonts w:ascii="Times New Roman" w:eastAsia="宋体" w:hAnsi="Times New Roman" w:cs="Times New Roman"/>
        </w:rPr>
        <w:t>世纪欧洲大学数量变化图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可知当时欧洲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3495675" cy="2619375"/>
            <wp:effectExtent l="0" t="0" r="9525" b="9525"/>
            <wp:docPr id="100015" name="图片 100015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4DF" w:rsidP="00C204DF">
      <w:pPr>
        <w:tabs>
          <w:tab w:val="left" w:pos="2078"/>
          <w:tab w:val="left" w:pos="4156"/>
          <w:tab w:val="left" w:pos="6234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大学兴起与发展状况</w:t>
      </w:r>
      <w:r>
        <w:rPr>
          <w:rFonts w:ascii="Times New Roman" w:eastAsia="宋体" w:hAnsi="Times New Roman" w:cs="Times New Roman"/>
        </w:rPr>
        <w:tab/>
        <w:t>B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高等教育已全面普及</w:t>
      </w:r>
    </w:p>
    <w:p w:rsidR="00993980" w:rsidP="00C204DF">
      <w:pPr>
        <w:tabs>
          <w:tab w:val="left" w:pos="2078"/>
          <w:tab w:val="left" w:pos="4156"/>
          <w:tab w:val="left" w:pos="6234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庄园遍布于世界各地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城市摆脱了神权影响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 xml:space="preserve">11—15 </w:t>
      </w:r>
      <w:r>
        <w:rPr>
          <w:rFonts w:ascii="Times New Roman" w:eastAsia="黑体" w:hAnsi="Times New Roman" w:cs="Times New Roman"/>
        </w:rPr>
        <w:t>世纪欧洲大学数量增长图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直观反映了城市与知识的共生关系。</w:t>
      </w:r>
      <w:r>
        <w:rPr>
          <w:rFonts w:ascii="Times New Roman" w:eastAsia="黑体" w:hAnsi="Times New Roman" w:cs="Times New Roman"/>
        </w:rPr>
        <w:t xml:space="preserve">12 </w:t>
      </w:r>
      <w:r>
        <w:rPr>
          <w:rFonts w:ascii="Times New Roman" w:eastAsia="黑体" w:hAnsi="Times New Roman" w:cs="Times New Roman"/>
        </w:rPr>
        <w:t>世纪大学兴起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如巴黎大学、博洛尼亚大学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与城市商品经济同步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因为城市提供了知识需求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如法律、医学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和物质基础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如校舍、资助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。</w:t>
      </w:r>
      <w:r>
        <w:rPr>
          <w:rFonts w:ascii="Times New Roman" w:eastAsia="黑体" w:hAnsi="Times New Roman" w:cs="Times New Roman"/>
        </w:rPr>
        <w:t xml:space="preserve">13—15 </w:t>
      </w:r>
      <w:r>
        <w:rPr>
          <w:rFonts w:ascii="Times New Roman" w:eastAsia="黑体" w:hAnsi="Times New Roman" w:cs="Times New Roman"/>
        </w:rPr>
        <w:t>世纪数量激增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从</w:t>
      </w:r>
      <w:r>
        <w:rPr>
          <w:rFonts w:ascii="Times New Roman" w:eastAsia="黑体" w:hAnsi="Times New Roman" w:cs="Times New Roman"/>
        </w:rPr>
        <w:t xml:space="preserve"> 7 </w:t>
      </w:r>
      <w:r>
        <w:rPr>
          <w:rFonts w:ascii="Times New Roman" w:eastAsia="黑体" w:hAnsi="Times New Roman" w:cs="Times New Roman"/>
        </w:rPr>
        <w:t>所到</w:t>
      </w:r>
      <w:r>
        <w:rPr>
          <w:rFonts w:ascii="Times New Roman" w:eastAsia="黑体" w:hAnsi="Times New Roman" w:cs="Times New Roman"/>
        </w:rPr>
        <w:t xml:space="preserve"> 79 </w:t>
      </w:r>
      <w:r>
        <w:rPr>
          <w:rFonts w:ascii="Times New Roman" w:eastAsia="黑体" w:hAnsi="Times New Roman" w:cs="Times New Roman"/>
        </w:rPr>
        <w:t>所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与城市扩张和王权支持密切相关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国王希望通过大学培养行政人才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城市则需要专业人才管理商业和司法。大学分布也集中在工商业发达地区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如意大利、法国北部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印证了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经济基础决定文化发展</w:t>
      </w:r>
      <w:r>
        <w:rPr>
          <w:rFonts w:ascii="Times New Roman" w:eastAsia="黑体" w:hAnsi="Times New Roman" w:cs="Times New Roman"/>
        </w:rPr>
        <w:t>”</w:t>
      </w:r>
      <w:r>
        <w:rPr>
          <w:rFonts w:ascii="Times New Roman" w:eastAsia="黑体" w:hAnsi="Times New Roman" w:cs="Times New Roman"/>
        </w:rPr>
        <w:t>。但需注意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大学仍以神学为主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世俗学科发展缓慢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反映了宗教的保守性。</w:t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19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下图是某同学在学习历史时设计的思维导图</w:t>
      </w:r>
      <w:r w:rsidRPr="00C204DF" w:rsidR="00C204DF">
        <w:rPr>
          <w:rFonts w:ascii="Times New Roman" w:eastAsia="宋体" w:hAnsi="Times New Roman" w:cs="Times New Roman"/>
        </w:rPr>
        <w:t>，</w:t>
      </w:r>
      <w:r>
        <w:rPr>
          <w:rFonts w:ascii="Times New Roman" w:eastAsia="宋体" w:hAnsi="Times New Roman" w:cs="Times New Roman"/>
        </w:rPr>
        <w:t>他研究的主题应是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3962400" cy="1276350"/>
            <wp:effectExtent l="0" t="0" r="0" b="0"/>
            <wp:docPr id="100017" name="图片 100017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tabs>
          <w:tab w:val="left" w:pos="2078"/>
          <w:tab w:val="left" w:pos="4156"/>
          <w:tab w:val="left" w:pos="6234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印度奴隶社会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希腊奴隶社会</w:t>
      </w:r>
      <w:r>
        <w:rPr>
          <w:rFonts w:ascii="Times New Roman" w:eastAsia="宋体" w:hAnsi="Times New Roman" w:cs="Times New Roman"/>
        </w:rPr>
        <w:tab/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西欧封建社会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中国封建社会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“</w:t>
      </w:r>
      <w:r>
        <w:rPr>
          <w:rFonts w:ascii="Times New Roman" w:eastAsia="黑体" w:hAnsi="Times New Roman" w:cs="Times New Roman"/>
        </w:rPr>
        <w:t>封君封臣制、庄园农奴制、自治城市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的关联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勾勒出西欧封建社会的三维结构。封君</w:t>
      </w:r>
      <w:r>
        <w:rPr>
          <w:rFonts w:ascii="Times New Roman" w:eastAsia="黑体" w:hAnsi="Times New Roman" w:cs="Times New Roman"/>
        </w:rPr>
        <w:t>封臣制构成</w:t>
      </w:r>
      <w:r>
        <w:rPr>
          <w:rFonts w:ascii="Times New Roman" w:eastAsia="黑体" w:hAnsi="Times New Roman" w:cs="Times New Roman"/>
        </w:rPr>
        <w:t>政治框架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庄园制提供经济基础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自治城市则是打破这种结构的新兴力量。三者的互动推动封建社会演变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>城市兴起冲击庄园经济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如农奴逃亡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促使封君</w:t>
      </w:r>
      <w:r>
        <w:rPr>
          <w:rFonts w:ascii="Times New Roman" w:eastAsia="黑体" w:hAnsi="Times New Roman" w:cs="Times New Roman"/>
        </w:rPr>
        <w:t>封臣制</w:t>
      </w:r>
      <w:r>
        <w:rPr>
          <w:rFonts w:ascii="Times New Roman" w:eastAsia="黑体" w:hAnsi="Times New Roman" w:cs="Times New Roman"/>
        </w:rPr>
        <w:t>瓦解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领主需用货币地租替代劳役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；同时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城市与王权结盟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削弱地方贵族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推动中央集权。思维导图未直接体现的是教会的作用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它既是封建体系的维护者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如神化等级制</w:t>
      </w:r>
      <w:r w:rsidR="00C204DF">
        <w:rPr>
          <w:rFonts w:ascii="Times New Roman" w:eastAsia="黑体" w:hAnsi="Times New Roman" w:cs="Times New Roman"/>
        </w:rPr>
        <w:t>）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又通过庇护大学和城市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客观上促进变革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形成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四股力量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的动态平衡。</w:t>
      </w:r>
    </w:p>
    <w:p w:rsidR="00993980" w:rsidP="00C204DF">
      <w:pPr>
        <w:spacing w:line="360" w:lineRule="auto"/>
        <w:ind w:left="420" w:hanging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20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制作知识结构是学习历史的一种方法。图中</w:t>
      </w:r>
      <w:r>
        <w:rPr>
          <w:rFonts w:ascii="Times New Roman" w:eastAsia="宋体" w:hAnsi="Times New Roman" w:cs="Times New Roman"/>
        </w:rPr>
        <w:t>“</w:t>
      </w:r>
      <w:r>
        <w:rPr>
          <w:rFonts w:ascii="Times New Roman" w:eastAsia="宋体" w:hAnsi="Times New Roman" w:cs="Times New Roman"/>
        </w:rPr>
        <w:t>？</w:t>
      </w:r>
      <w:r>
        <w:rPr>
          <w:rFonts w:ascii="Times New Roman" w:eastAsia="宋体" w:hAnsi="Times New Roman" w:cs="Times New Roman"/>
        </w:rPr>
        <w:t>”</w:t>
      </w:r>
      <w:r>
        <w:rPr>
          <w:rFonts w:ascii="Times New Roman" w:eastAsia="宋体" w:hAnsi="Times New Roman" w:cs="Times New Roman"/>
        </w:rPr>
        <w:t>处应该填写</w:t>
      </w:r>
      <w:r w:rsidR="00C204DF">
        <w:rPr>
          <w:rFonts w:ascii="Times New Roman" w:eastAsia="宋体" w:hAnsi="Times New Roman" w:cs="Times New Roman"/>
        </w:rPr>
        <w:t>（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kern w:val="0"/>
          <w:sz w:val="24"/>
          <w:szCs w:val="24"/>
        </w:rPr>
        <w:t> </w:t>
      </w:r>
      <w:r w:rsidR="00C204DF">
        <w:rPr>
          <w:rFonts w:ascii="Times New Roman" w:eastAsia="宋体" w:hAnsi="Times New Roman" w:cs="Times New Roman"/>
        </w:rPr>
        <w:t>）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4400550" cy="2124075"/>
            <wp:effectExtent l="0" t="0" r="0" b="9525"/>
            <wp:docPr id="100019" name="图片 100019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0055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A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城市的重新兴起</w:t>
      </w:r>
      <w:r>
        <w:rPr>
          <w:rFonts w:ascii="Times New Roman" w:eastAsia="宋体" w:hAnsi="Times New Roman" w:cs="Times New Roman"/>
        </w:rPr>
        <w:tab/>
        <w:t>B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法制的建立和健全</w:t>
      </w:r>
    </w:p>
    <w:p w:rsidR="00993980" w:rsidP="00C204DF">
      <w:pPr>
        <w:tabs>
          <w:tab w:val="left" w:pos="4156"/>
        </w:tabs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C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科学的发展和进步</w:t>
      </w:r>
      <w:r>
        <w:rPr>
          <w:rFonts w:ascii="Times New Roman" w:eastAsia="宋体" w:hAnsi="Times New Roman" w:cs="Times New Roman"/>
        </w:rPr>
        <w:tab/>
        <w:t>D</w:t>
      </w:r>
      <w:r w:rsidR="00C204DF"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/>
        </w:rPr>
        <w:t>生产组织的资本主义化</w:t>
      </w:r>
    </w:p>
    <w:p w:rsidR="00993980" w:rsidP="00C204DF">
      <w:pPr>
        <w:pBdr>
          <w:top w:val="dotDash" w:sz="4" w:space="1" w:color="auto"/>
          <w:left w:val="dotDash" w:sz="4" w:space="4" w:color="auto"/>
          <w:bottom w:val="dotDash" w:sz="4" w:space="1" w:color="auto"/>
          <w:right w:val="dotDash" w:sz="4" w:space="4" w:color="auto"/>
        </w:pBdr>
        <w:shd w:val="clear" w:color="auto" w:fill="E2EFD9"/>
        <w:spacing w:line="360" w:lineRule="auto"/>
        <w:ind w:left="420"/>
        <w:jc w:val="left"/>
        <w:textAlignment w:val="center"/>
        <w:rPr>
          <w:rFonts w:ascii="Times New Roman" w:eastAsia="黑体" w:hAnsi="Times New Roman" w:cs="Times New Roman"/>
        </w:rPr>
      </w:pPr>
      <w:r>
        <w:rPr>
          <w:rFonts w:ascii="Times New Roman" w:eastAsia="黑体" w:hAnsi="Times New Roman" w:cs="Times New Roman"/>
        </w:rPr>
        <w:t>史料解读</w:t>
      </w:r>
      <w:r w:rsidR="00C204DF">
        <w:rPr>
          <w:rFonts w:ascii="Times New Roman" w:eastAsia="黑体" w:hAnsi="Times New Roman" w:cs="Times New Roman"/>
        </w:rPr>
        <w:t>：</w:t>
      </w:r>
      <w:r>
        <w:rPr>
          <w:rFonts w:ascii="Times New Roman" w:eastAsia="黑体" w:hAnsi="Times New Roman" w:cs="Times New Roman"/>
        </w:rPr>
        <w:t xml:space="preserve">10 </w:t>
      </w:r>
      <w:r>
        <w:rPr>
          <w:rFonts w:ascii="Times New Roman" w:eastAsia="黑体" w:hAnsi="Times New Roman" w:cs="Times New Roman"/>
        </w:rPr>
        <w:t>世纪西欧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农业技术提高</w:t>
      </w:r>
      <w:r>
        <w:rPr>
          <w:rFonts w:ascii="Times New Roman" w:eastAsia="黑体" w:hAnsi="Times New Roman" w:cs="Times New Roman"/>
        </w:rPr>
        <w:t>→</w:t>
      </w:r>
      <w:r>
        <w:rPr>
          <w:rFonts w:ascii="Times New Roman" w:eastAsia="黑体" w:hAnsi="Times New Roman" w:cs="Times New Roman"/>
        </w:rPr>
        <w:t>城市兴起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的逻辑链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需补充中间环节的深层互动。农业剩余产品增加使部分人脱离农耕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成为城市工匠和商人；手工业发展催生专业分工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需要集中生产</w:t>
      </w:r>
      <w:r w:rsidR="00C204DF">
        <w:rPr>
          <w:rFonts w:ascii="Times New Roman" w:eastAsia="黑体" w:hAnsi="Times New Roman" w:cs="Times New Roman"/>
        </w:rPr>
        <w:t>（</w:t>
      </w:r>
      <w:r>
        <w:rPr>
          <w:rFonts w:ascii="Times New Roman" w:eastAsia="黑体" w:hAnsi="Times New Roman" w:cs="Times New Roman"/>
        </w:rPr>
        <w:t>即城市</w:t>
      </w:r>
      <w:r w:rsidR="00C204DF">
        <w:rPr>
          <w:rFonts w:ascii="Times New Roman" w:eastAsia="黑体" w:hAnsi="Times New Roman" w:cs="Times New Roman"/>
        </w:rPr>
        <w:t>）</w:t>
      </w:r>
      <w:r>
        <w:rPr>
          <w:rFonts w:ascii="Times New Roman" w:eastAsia="黑体" w:hAnsi="Times New Roman" w:cs="Times New Roman"/>
        </w:rPr>
        <w:t>；商业贸易则要求固定交易场所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推动市集升级为城市。人口增长既是结果也是原因</w:t>
      </w:r>
      <w:r>
        <w:rPr>
          <w:rFonts w:ascii="Times New Roman" w:eastAsia="黑体" w:hAnsi="Times New Roman" w:cs="Times New Roman"/>
        </w:rPr>
        <w:t xml:space="preserve"> —— </w:t>
      </w:r>
      <w:r>
        <w:rPr>
          <w:rFonts w:ascii="Times New Roman" w:eastAsia="黑体" w:hAnsi="Times New Roman" w:cs="Times New Roman"/>
        </w:rPr>
        <w:t>农村人口过剩促使农民涌入城市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提供劳动力。这种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农业</w:t>
      </w:r>
      <w:r>
        <w:rPr>
          <w:rFonts w:ascii="Times New Roman" w:eastAsia="黑体" w:hAnsi="Times New Roman" w:cs="Times New Roman"/>
        </w:rPr>
        <w:t xml:space="preserve"> - </w:t>
      </w:r>
      <w:r>
        <w:rPr>
          <w:rFonts w:ascii="Times New Roman" w:eastAsia="黑体" w:hAnsi="Times New Roman" w:cs="Times New Roman"/>
        </w:rPr>
        <w:t>手工业</w:t>
      </w:r>
      <w:r>
        <w:rPr>
          <w:rFonts w:ascii="Times New Roman" w:eastAsia="黑体" w:hAnsi="Times New Roman" w:cs="Times New Roman"/>
        </w:rPr>
        <w:t xml:space="preserve"> - </w:t>
      </w:r>
      <w:r>
        <w:rPr>
          <w:rFonts w:ascii="Times New Roman" w:eastAsia="黑体" w:hAnsi="Times New Roman" w:cs="Times New Roman"/>
        </w:rPr>
        <w:t>商业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的连锁反应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本质是生产力进步引发的社会分工细化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与中国明清时期</w:t>
      </w:r>
      <w:r>
        <w:rPr>
          <w:rFonts w:ascii="Times New Roman" w:eastAsia="黑体" w:hAnsi="Times New Roman" w:cs="Times New Roman"/>
        </w:rPr>
        <w:t xml:space="preserve"> “</w:t>
      </w:r>
      <w:r>
        <w:rPr>
          <w:rFonts w:ascii="Times New Roman" w:eastAsia="黑体" w:hAnsi="Times New Roman" w:cs="Times New Roman"/>
        </w:rPr>
        <w:t>农业繁荣但城市未突破封建制</w:t>
      </w:r>
      <w:r>
        <w:rPr>
          <w:rFonts w:ascii="Times New Roman" w:eastAsia="黑体" w:hAnsi="Times New Roman" w:cs="Times New Roman"/>
        </w:rPr>
        <w:t xml:space="preserve">” </w:t>
      </w:r>
      <w:r>
        <w:rPr>
          <w:rFonts w:ascii="Times New Roman" w:eastAsia="黑体" w:hAnsi="Times New Roman" w:cs="Times New Roman"/>
        </w:rPr>
        <w:t>形成对比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关键差异在于西欧城市获得了自治权</w:t>
      </w:r>
      <w:r w:rsidRPr="00C204DF" w:rsidR="00C204DF">
        <w:rPr>
          <w:rFonts w:ascii="Times New Roman" w:eastAsia="黑体" w:hAnsi="Times New Roman" w:cs="Times New Roman"/>
        </w:rPr>
        <w:t>，</w:t>
      </w:r>
      <w:r>
        <w:rPr>
          <w:rFonts w:ascii="Times New Roman" w:eastAsia="黑体" w:hAnsi="Times New Roman" w:cs="Times New Roman"/>
        </w:rPr>
        <w:t>而中国城市始终受皇权控制。</w:t>
      </w:r>
    </w:p>
    <w:p w:rsidR="00993980" w:rsidP="00C204DF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21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（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>以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 xml:space="preserve"> “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>权力转移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 xml:space="preserve">” 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>为主线</w:t>
      </w:r>
      <w:r w:rsidRPr="00C204DF"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，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>强调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 xml:space="preserve"> “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>互动关系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>”</w:t>
      </w:r>
      <w:r w:rsidRPr="00C204DF"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，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>聚焦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 xml:space="preserve"> “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>现代性萌芽</w:t>
      </w:r>
      <w:r w:rsidR="00FA160D">
        <w:rPr>
          <w:rFonts w:ascii="Times New Roman" w:eastAsia="宋体" w:hAnsi="Times New Roman" w:cs="Times New Roman"/>
          <w:b/>
          <w:bCs/>
          <w:color w:val="70AD47" w:themeColor="accent6"/>
        </w:rPr>
        <w:t>”</w:t>
      </w:r>
      <w:r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）</w:t>
      </w:r>
      <w:r w:rsidR="00FA160D">
        <w:rPr>
          <w:rFonts w:ascii="Times New Roman" w:eastAsia="宋体" w:hAnsi="Times New Roman" w:cs="Times New Roman"/>
        </w:rPr>
        <w:t>阅读材料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回答问题。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材料</w:t>
      </w:r>
      <w:r>
        <w:rPr>
          <w:rFonts w:ascii="楷体" w:eastAsia="楷体" w:hAnsi="楷体" w:cs="楷体"/>
        </w:rPr>
        <w:t>一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楷体" w:eastAsia="楷体" w:hAnsi="楷体" w:cs="楷体"/>
        </w:rPr>
        <w:t>权力由封建城堡向城市的转移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是一个缓慢而逐渐的过程……城镇变得越来越富有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封建领主却越来越穷……城市不断地成长壮大。</w:t>
      </w:r>
    </w:p>
    <w:p w:rsidR="00993980" w:rsidP="00C204DF">
      <w:pPr>
        <w:spacing w:line="360" w:lineRule="auto"/>
        <w:ind w:left="420"/>
        <w:jc w:val="righ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——摘编自亨德里克·威廉·房龙《人类的故事》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材料一中的</w:t>
      </w:r>
      <w:r w:rsidR="00FA160D">
        <w:rPr>
          <w:rFonts w:ascii="Times New Roman" w:eastAsia="宋体" w:hAnsi="Times New Roman" w:cs="Times New Roman"/>
        </w:rPr>
        <w:t>“</w:t>
      </w:r>
      <w:r w:rsidR="00FA160D">
        <w:rPr>
          <w:rFonts w:ascii="Times New Roman" w:eastAsia="宋体" w:hAnsi="Times New Roman" w:cs="Times New Roman"/>
        </w:rPr>
        <w:t>权力由封建城堡向城市的转移</w:t>
      </w:r>
      <w:r w:rsidR="00FA160D">
        <w:rPr>
          <w:rFonts w:ascii="Times New Roman" w:eastAsia="宋体" w:hAnsi="Times New Roman" w:cs="Times New Roman"/>
        </w:rPr>
        <w:t>”</w:t>
      </w:r>
      <w:r w:rsidR="00FA160D">
        <w:rPr>
          <w:rFonts w:ascii="Times New Roman" w:eastAsia="宋体" w:hAnsi="Times New Roman" w:cs="Times New Roman"/>
        </w:rPr>
        <w:t>是指什么现象？结合所学知识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谈谈中世纪城市不断成长壮大在经济、政治、文化方面的表现。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材料二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楷体" w:eastAsia="楷体" w:hAnsi="楷体" w:cs="楷体"/>
        </w:rPr>
        <w:t>中世纪的西欧城市兴起迟而发展快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不仅是由于社会经济勃兴的推动和市民的奋斗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而且还得益于它找到了合适的盟友——王权的支持。城市与王权结盟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使得在封建割据的夹缝中生长起来的城市增强了力量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更有能力与封建领主的侵逼和社会经济运行不畅的困难作斗争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在艰难竭蹶之中成长壮大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使城市工商业得以发展兴盛。同时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这样的联盟也促进了王权的加强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促进了西欧各国加强中央集权、消除封建割据的历史进程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并导致了西欧政体的演变。</w:t>
      </w:r>
    </w:p>
    <w:p w:rsidR="00993980" w:rsidP="00C204DF">
      <w:pPr>
        <w:spacing w:line="360" w:lineRule="auto"/>
        <w:ind w:left="420"/>
        <w:jc w:val="righ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——摘编自黄健荣《中古西欧城市与王权的盟友关系》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根据材料二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归纳中世纪西欧城市与王权的关系。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材料三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楷体" w:eastAsia="楷体" w:hAnsi="楷体" w:cs="楷体"/>
        </w:rPr>
        <w:t>13至16世纪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曾在巴黎大学执教和攻读的知名外国学者当中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有153名英格兰人、苏格兰人和爱尔兰人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200名德国人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56名荷兰人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109名意大利人……从人才培养来看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中世纪大学训练学生掌握了一定的知识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以后可以从事法律、医学、教学这些世俗专业或献身教会工作……中世纪的巴黎市民必须宣誓尊重学者特权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教区</w:t>
      </w:r>
      <w:r>
        <w:rPr>
          <w:rFonts w:ascii="楷体" w:eastAsia="楷体" w:hAnsi="楷体" w:cs="楷体"/>
        </w:rPr>
        <w:t>长同样</w:t>
      </w:r>
      <w:r>
        <w:rPr>
          <w:rFonts w:ascii="楷体" w:eastAsia="楷体" w:hAnsi="楷体" w:cs="楷体"/>
        </w:rPr>
        <w:t>要在一个巴黎的教堂公开向聚集在此处的学者立誓尊重学者特权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并将该誓言的精神传达到其治理下的机构。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根据材料三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概括中世纪时期巴黎大学的特点。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有学者认为</w:t>
      </w:r>
      <w:r>
        <w:rPr>
          <w:rFonts w:ascii="Times New Roman" w:eastAsia="宋体" w:hAnsi="Times New Roman" w:cs="Times New Roman"/>
        </w:rPr>
        <w:t>：</w:t>
      </w:r>
      <w:r w:rsidR="00FA160D">
        <w:rPr>
          <w:rFonts w:ascii="Times New Roman" w:eastAsia="宋体" w:hAnsi="Times New Roman" w:cs="Times New Roman"/>
        </w:rPr>
        <w:t>“</w:t>
      </w:r>
      <w:r w:rsidR="00FA160D">
        <w:rPr>
          <w:rFonts w:ascii="Times New Roman" w:eastAsia="宋体" w:hAnsi="Times New Roman" w:cs="Times New Roman"/>
        </w:rPr>
        <w:t>城市在中世纪晚期逐渐发展为现代社会的胚细胞。</w:t>
      </w:r>
      <w:r w:rsidR="00FA160D">
        <w:rPr>
          <w:rFonts w:ascii="Times New Roman" w:eastAsia="宋体" w:hAnsi="Times New Roman" w:cs="Times New Roman"/>
        </w:rPr>
        <w:t>”</w:t>
      </w:r>
      <w:r w:rsidR="00FA160D">
        <w:rPr>
          <w:rFonts w:ascii="Times New Roman" w:eastAsia="宋体" w:hAnsi="Times New Roman" w:cs="Times New Roman"/>
        </w:rPr>
        <w:t>综合上述材料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谈谈你对这句话的理解。</w:t>
      </w:r>
    </w:p>
    <w:p w:rsidR="00993980" w:rsidP="00C204DF">
      <w:pPr>
        <w:spacing w:line="360" w:lineRule="auto"/>
        <w:ind w:left="424" w:hanging="420" w:leftChars="2" w:hangingChars="20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22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（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从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 xml:space="preserve"> 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“庄园到城市”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 xml:space="preserve"> 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的对比视角</w:t>
      </w:r>
      <w:r w:rsidRPr="00C204DF"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，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聚焦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 xml:space="preserve"> 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“权利斗争”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 xml:space="preserve"> 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的主线</w:t>
      </w:r>
      <w:r w:rsidRPr="00C204DF"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，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关联教育与社会变革</w:t>
      </w:r>
      <w:r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）</w:t>
      </w:r>
      <w:r w:rsidR="00FA160D">
        <w:rPr>
          <w:rFonts w:ascii="Times New Roman" w:eastAsia="宋体" w:hAnsi="Times New Roman" w:cs="Times New Roman"/>
        </w:rPr>
        <w:t>中世纪的欧洲是指封建制度在欧洲占统治地位的时代。阅读材料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回答问题。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材料</w:t>
      </w:r>
      <w:r>
        <w:rPr>
          <w:rFonts w:ascii="楷体" w:eastAsia="楷体" w:hAnsi="楷体" w:cs="楷体"/>
        </w:rPr>
        <w:t>一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楷体" w:eastAsia="楷体" w:hAnsi="楷体" w:cs="楷体"/>
        </w:rPr>
        <w:t>佃户因为没有认真耕种领主的田地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被罚款</w:t>
      </w:r>
      <w:r>
        <w:rPr>
          <w:rFonts w:ascii="Times New Roman" w:eastAsia="宋体" w:hAnsi="Times New Roman" w:cs="Times New Roman"/>
        </w:rPr>
        <w:t>6</w:t>
      </w:r>
      <w:r>
        <w:rPr>
          <w:rFonts w:ascii="楷体" w:eastAsia="楷体" w:hAnsi="楷体" w:cs="楷体"/>
        </w:rPr>
        <w:t>便士；佃户的家畜误入领主的园子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被罚款</w:t>
      </w:r>
      <w:r>
        <w:rPr>
          <w:rFonts w:ascii="Times New Roman" w:eastAsia="宋体" w:hAnsi="Times New Roman" w:cs="Times New Roman"/>
        </w:rPr>
        <w:t>6</w:t>
      </w:r>
      <w:r>
        <w:rPr>
          <w:rFonts w:ascii="楷体" w:eastAsia="楷体" w:hAnsi="楷体" w:cs="楷体"/>
        </w:rPr>
        <w:t>便士；只要领主的磨坊能够磨面粉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就不得到庄园以外磨面粉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违者罚款</w:t>
      </w:r>
      <w:r>
        <w:rPr>
          <w:rFonts w:ascii="Times New Roman" w:eastAsia="宋体" w:hAnsi="Times New Roman" w:cs="Times New Roman"/>
        </w:rPr>
        <w:t>20</w:t>
      </w:r>
      <w:r>
        <w:rPr>
          <w:rFonts w:ascii="楷体" w:eastAsia="楷体" w:hAnsi="楷体" w:cs="楷体"/>
        </w:rPr>
        <w:t>先令。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材料二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楷体" w:eastAsia="楷体" w:hAnsi="楷体" w:cs="楷体"/>
        </w:rPr>
        <w:t>无权享用公共牧场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但仍在牧场内放牧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侵犯了全体村民的权益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判令他们从牧场牵走他们的牲畜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从此不得占用牧场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违者还要罚款。不按规定价格卖酒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也要罚款。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材料三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楷体" w:eastAsia="楷体" w:hAnsi="楷体" w:cs="楷体"/>
        </w:rPr>
        <w:t>一些比较富裕的城市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就用赎买的办法摆脱领主的统治；有的城市则采用武装斗争的手段；另一些则两种办法交替使用。意大利北部的威尼斯、热那亚等城市建立起独立的城市共和国。那些取得完全自治权的城市只向国王缴纳定额赋税。市民选举产生的市议会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成为最高权力机关。另外一些城市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如法国的巴黎、奥尔良、里昂和英国的伦敦、牛津等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只享有不完全的自治权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由国王和城市</w:t>
      </w:r>
      <w:r>
        <w:rPr>
          <w:rFonts w:ascii="楷体" w:eastAsia="楷体" w:hAnsi="楷体" w:cs="楷体"/>
        </w:rPr>
        <w:t>代表共同管理城市。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材料四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楷体" w:eastAsia="楷体" w:hAnsi="楷体" w:cs="楷体"/>
        </w:rPr>
        <w:t>城市是中世纪的花朵。</w:t>
      </w:r>
    </w:p>
    <w:p w:rsidR="00993980" w:rsidP="00C204DF">
      <w:pPr>
        <w:spacing w:line="360" w:lineRule="auto"/>
        <w:ind w:left="420"/>
        <w:jc w:val="righ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——《世界通史中世纪卷》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材料五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/>
        </w:rPr>
        <w:t>13</w:t>
      </w:r>
      <w:r>
        <w:rPr>
          <w:rFonts w:ascii="楷体" w:eastAsia="楷体" w:hAnsi="楷体" w:cs="楷体"/>
        </w:rPr>
        <w:t>世纪的西欧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国王希望大学成为教育和文化中心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一般都尊重大学自治。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材料一、二中反映了西欧庄园具有司法权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根据所学知识猜测主持法庭的是哪些人？西欧庄园法庭审判的依据是什么？庄园法庭惩罚各种违法行为的基本手段是什么？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根据材料三归纳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为了取得城市的自由和自治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城市经常采用采取哪些手段？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材料四提到城市是中世纪的花朵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那么城市的基本居民除了手工工匠外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还有什么人？什么被认为是欧洲中世纪教育</w:t>
      </w:r>
      <w:r w:rsidR="00FA160D">
        <w:rPr>
          <w:rFonts w:ascii="Times New Roman" w:eastAsia="宋体" w:hAnsi="Times New Roman" w:cs="Times New Roman"/>
        </w:rPr>
        <w:t>“</w:t>
      </w:r>
      <w:r w:rsidR="00FA160D">
        <w:rPr>
          <w:rFonts w:ascii="Times New Roman" w:eastAsia="宋体" w:hAnsi="Times New Roman" w:cs="Times New Roman"/>
        </w:rPr>
        <w:t>最美好的花朵</w:t>
      </w:r>
      <w:r w:rsidR="00FA160D">
        <w:rPr>
          <w:rFonts w:ascii="Times New Roman" w:eastAsia="宋体" w:hAnsi="Times New Roman" w:cs="Times New Roman"/>
        </w:rPr>
        <w:t>”</w:t>
      </w:r>
      <w:r w:rsidR="00FA160D">
        <w:rPr>
          <w:rFonts w:ascii="Times New Roman" w:eastAsia="宋体" w:hAnsi="Times New Roman" w:cs="Times New Roman"/>
        </w:rPr>
        <w:t>？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材料五中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13</w:t>
      </w:r>
      <w:r w:rsidR="00FA160D">
        <w:rPr>
          <w:rFonts w:ascii="Times New Roman" w:eastAsia="宋体" w:hAnsi="Times New Roman" w:cs="Times New Roman"/>
        </w:rPr>
        <w:t>世纪的西欧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大学的自治地位主要体现</w:t>
      </w:r>
      <w:r w:rsidR="00FA160D">
        <w:rPr>
          <w:rFonts w:ascii="Times New Roman" w:eastAsia="宋体" w:hAnsi="Times New Roman" w:cs="Times New Roman"/>
        </w:rPr>
        <w:t>在免赋税权</w:t>
      </w:r>
      <w:r w:rsidR="00FA160D">
        <w:rPr>
          <w:rFonts w:ascii="Times New Roman" w:eastAsia="宋体" w:hAnsi="Times New Roman" w:cs="Times New Roman"/>
        </w:rPr>
        <w:t>以及其它哪两项权利上？</w:t>
      </w:r>
    </w:p>
    <w:p w:rsidR="00993980" w:rsidP="00C204DF">
      <w:pPr>
        <w:spacing w:line="360" w:lineRule="auto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23</w:t>
      </w:r>
      <w:r>
        <w:rPr>
          <w:rFonts w:ascii="Times New Roman" w:eastAsia="宋体" w:hAnsi="Times New Roman" w:cs="Times New Roman"/>
        </w:rPr>
        <w:t>．</w:t>
      </w:r>
      <w:r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（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跨时空对比</w:t>
      </w:r>
      <w:r w:rsidRPr="00C204DF"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，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聚焦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 xml:space="preserve"> 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“教育功能”</w:t>
      </w:r>
      <w:r w:rsidRPr="00C204DF"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，</w:t>
      </w:r>
      <w:r w:rsidR="00FA160D">
        <w:rPr>
          <w:rFonts w:ascii="Times New Roman" w:eastAsia="宋体" w:hAnsi="Times New Roman" w:cs="Times New Roman" w:hint="eastAsia"/>
          <w:b/>
          <w:bCs/>
          <w:color w:val="70AD47" w:themeColor="accent6"/>
        </w:rPr>
        <w:t>呼应现实关切</w:t>
      </w:r>
      <w:r>
        <w:rPr>
          <w:rFonts w:ascii="Times New Roman" w:eastAsia="宋体" w:hAnsi="Times New Roman" w:cs="Times New Roman" w:hint="eastAsia"/>
          <w:b/>
          <w:bCs/>
          <w:color w:val="70AD47" w:themeColor="accent6"/>
        </w:rPr>
        <w:t>）</w:t>
      </w:r>
      <w:r w:rsidR="00FA160D">
        <w:rPr>
          <w:rFonts w:ascii="Times New Roman" w:eastAsia="宋体" w:hAnsi="Times New Roman" w:cs="Times New Roman"/>
        </w:rPr>
        <w:t>阅读下列材料</w:t>
      </w:r>
      <w:r>
        <w:rPr>
          <w:rFonts w:ascii="Times New Roman" w:eastAsia="宋体" w:hAnsi="Times New Roman" w:cs="Times New Roman"/>
        </w:rPr>
        <w:t>：</w:t>
      </w:r>
    </w:p>
    <w:p w:rsidR="00C204DF" w:rsidP="00C204DF">
      <w:pPr>
        <w:spacing w:line="360" w:lineRule="auto"/>
        <w:ind w:left="420"/>
        <w:jc w:val="left"/>
        <w:textAlignment w:val="center"/>
        <w:rPr>
          <w:rFonts w:ascii="楷体" w:eastAsia="楷体" w:hAnsi="楷体" w:cs="楷体"/>
        </w:rPr>
      </w:pPr>
      <w:r>
        <w:rPr>
          <w:rFonts w:ascii="楷体" w:eastAsia="楷体" w:hAnsi="楷体" w:cs="楷体"/>
        </w:rPr>
        <w:t>材料一</w:t>
      </w:r>
    </w:p>
    <w:p w:rsidR="00993980" w:rsidP="00C204DF">
      <w:pPr>
        <w:spacing w:line="360" w:lineRule="auto"/>
        <w:ind w:left="420"/>
        <w:jc w:val="center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Times New Roman" w:hAnsi="Times New Roman" w:cs="Times New Roman"/>
          <w:noProof/>
          <w:kern w:val="0"/>
          <w:sz w:val="24"/>
          <w:szCs w:val="24"/>
        </w:rPr>
        <w:drawing>
          <wp:inline distT="0" distB="0" distL="114300" distR="114300">
            <wp:extent cx="3686175" cy="2409825"/>
            <wp:effectExtent l="0" t="0" r="9525" b="9525"/>
            <wp:docPr id="100021" name="图片 100021" descr="学科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材料二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Times New Roman" w:eastAsia="宋体" w:hAnsi="Times New Roman" w:cs="Times New Roman"/>
        </w:rPr>
        <w:t>1937</w:t>
      </w:r>
      <w:r>
        <w:rPr>
          <w:rFonts w:ascii="楷体" w:eastAsia="楷体" w:hAnsi="楷体" w:cs="楷体"/>
        </w:rPr>
        <w:t>年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国民政府教育部命原处</w:t>
      </w:r>
      <w:r>
        <w:rPr>
          <w:rFonts w:ascii="楷体" w:eastAsia="楷体" w:hAnsi="楷体" w:cs="楷体"/>
        </w:rPr>
        <w:t>平津两地</w:t>
      </w:r>
      <w:r>
        <w:rPr>
          <w:rFonts w:ascii="楷体" w:eastAsia="楷体" w:hAnsi="楷体" w:cs="楷体"/>
        </w:rPr>
        <w:t>的北京大学、清华大季、南开大学组成长沙临时大学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Times New Roman" w:eastAsia="宋体" w:hAnsi="Times New Roman" w:cs="Times New Roman"/>
        </w:rPr>
        <w:t>1938</w:t>
      </w:r>
      <w:r>
        <w:rPr>
          <w:rFonts w:ascii="楷体" w:eastAsia="楷体" w:hAnsi="楷体" w:cs="楷体"/>
        </w:rPr>
        <w:t>年</w:t>
      </w:r>
      <w:r>
        <w:rPr>
          <w:rFonts w:ascii="Times New Roman" w:eastAsia="宋体" w:hAnsi="Times New Roman" w:cs="Times New Roman"/>
        </w:rPr>
        <w:t>1</w:t>
      </w:r>
      <w:r>
        <w:rPr>
          <w:rFonts w:ascii="楷体" w:eastAsia="楷体" w:hAnsi="楷体" w:cs="楷体"/>
        </w:rPr>
        <w:t>月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迁往昆明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组建国立西南联合大学。八年间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西南联大共培养出</w:t>
      </w:r>
      <w:r>
        <w:rPr>
          <w:rFonts w:ascii="Times New Roman" w:eastAsia="宋体" w:hAnsi="Times New Roman" w:cs="Times New Roman"/>
        </w:rPr>
        <w:t>8000</w:t>
      </w:r>
      <w:r>
        <w:rPr>
          <w:rFonts w:ascii="楷体" w:eastAsia="楷体" w:hAnsi="楷体" w:cs="楷体"/>
        </w:rPr>
        <w:t>多名学生。西南联大从军学生前后一共达到</w:t>
      </w:r>
      <w:r>
        <w:rPr>
          <w:rFonts w:ascii="Times New Roman" w:eastAsia="宋体" w:hAnsi="Times New Roman" w:cs="Times New Roman"/>
        </w:rPr>
        <w:t>834</w:t>
      </w:r>
      <w:r>
        <w:rPr>
          <w:rFonts w:ascii="楷体" w:eastAsia="楷体" w:hAnsi="楷体" w:cs="楷体"/>
        </w:rPr>
        <w:t>人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其中不乏主动投笔从戎的热血青年。除了担任翻译外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联大学生还参加了远征军和空军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数百健儿血洒长空和</w:t>
      </w:r>
      <w:r>
        <w:rPr>
          <w:rFonts w:ascii="楷体" w:eastAsia="楷体" w:hAnsi="楷体" w:cs="楷体"/>
        </w:rPr>
        <w:t>缅北</w:t>
      </w:r>
      <w:r>
        <w:rPr>
          <w:rFonts w:ascii="楷体" w:eastAsia="楷体" w:hAnsi="楷体" w:cs="楷体"/>
        </w:rPr>
        <w:t>丛林。师生们办起了大批中学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参与了西部少数民族调查和地方历史文化的发掘整理工作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并直接参加了云南的经济建设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如创建恒通酒精厂和</w:t>
      </w:r>
      <w:r>
        <w:rPr>
          <w:rFonts w:ascii="楷体" w:eastAsia="楷体" w:hAnsi="楷体" w:cs="楷体"/>
        </w:rPr>
        <w:t>利滇</w:t>
      </w:r>
      <w:r>
        <w:rPr>
          <w:rFonts w:ascii="楷体" w:eastAsia="楷体" w:hAnsi="楷体" w:cs="楷体"/>
        </w:rPr>
        <w:t>化工厂等。</w:t>
      </w:r>
    </w:p>
    <w:p w:rsidR="00993980" w:rsidP="00C204DF">
      <w:pPr>
        <w:spacing w:line="360" w:lineRule="auto"/>
        <w:ind w:left="420"/>
        <w:jc w:val="righ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——摘编自知中《西南联大的遗产》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材料三</w:t>
      </w:r>
      <w:r w:rsidR="00C204DF">
        <w:rPr>
          <w:rFonts w:ascii="Times New Roman" w:eastAsia="Times New Roman" w:hAnsi="Times New Roman" w:cs="Times New Roman"/>
          <w:kern w:val="0"/>
          <w:sz w:val="24"/>
          <w:szCs w:val="24"/>
        </w:rPr>
        <w:t xml:space="preserve">   </w:t>
      </w:r>
      <w:r>
        <w:rPr>
          <w:rFonts w:ascii="楷体" w:eastAsia="楷体" w:hAnsi="楷体" w:cs="楷体"/>
        </w:rPr>
        <w:t>新中国高等教育发展有两个重要的阶段。</w:t>
      </w:r>
      <w:r>
        <w:rPr>
          <w:rFonts w:ascii="Times New Roman" w:eastAsia="宋体" w:hAnsi="Times New Roman" w:cs="Times New Roman"/>
        </w:rPr>
        <w:t>1957</w:t>
      </w:r>
      <w:r>
        <w:rPr>
          <w:rFonts w:ascii="楷体" w:eastAsia="楷体" w:hAnsi="楷体" w:cs="楷体"/>
        </w:rPr>
        <w:t>年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经过院系调整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高等院校共有</w:t>
      </w:r>
      <w:r>
        <w:rPr>
          <w:rFonts w:ascii="Times New Roman" w:eastAsia="宋体" w:hAnsi="Times New Roman" w:cs="Times New Roman"/>
        </w:rPr>
        <w:t>323</w:t>
      </w:r>
      <w:r>
        <w:rPr>
          <w:rFonts w:ascii="楷体" w:eastAsia="楷体" w:hAnsi="楷体" w:cs="楷体"/>
        </w:rPr>
        <w:t>种专业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其中工科</w:t>
      </w:r>
      <w:r>
        <w:rPr>
          <w:rFonts w:ascii="Times New Roman" w:eastAsia="宋体" w:hAnsi="Times New Roman" w:cs="Times New Roman"/>
        </w:rPr>
        <w:t>183</w:t>
      </w:r>
      <w:r>
        <w:rPr>
          <w:rFonts w:ascii="楷体" w:eastAsia="楷体" w:hAnsi="楷体" w:cs="楷体"/>
        </w:rPr>
        <w:t>种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占</w:t>
      </w:r>
      <w:r>
        <w:rPr>
          <w:rFonts w:ascii="Times New Roman" w:eastAsia="宋体" w:hAnsi="Times New Roman" w:cs="Times New Roman"/>
        </w:rPr>
        <w:t>56</w:t>
      </w:r>
      <w:r w:rsidR="003B5B15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7%</w:t>
      </w:r>
      <w:r>
        <w:rPr>
          <w:rFonts w:ascii="楷体" w:eastAsia="楷体" w:hAnsi="楷体" w:cs="楷体"/>
        </w:rPr>
        <w:t>。而文科、政法、财经各专业所占的比重急剧下降。</w:t>
      </w:r>
      <w:r>
        <w:rPr>
          <w:rFonts w:ascii="Times New Roman" w:eastAsia="宋体" w:hAnsi="Times New Roman" w:cs="Times New Roman"/>
        </w:rPr>
        <w:t>1993</w:t>
      </w:r>
      <w:r>
        <w:rPr>
          <w:rFonts w:ascii="楷体" w:eastAsia="楷体" w:hAnsi="楷体" w:cs="楷体"/>
        </w:rPr>
        <w:t>年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中共中央、</w:t>
      </w:r>
      <w:r>
        <w:rPr>
          <w:rFonts w:ascii="楷体" w:eastAsia="楷体" w:hAnsi="楷体" w:cs="楷体"/>
        </w:rPr>
        <w:t>国务院印发《中国教育改革和发展纲要》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指出要分期分批地重点建设具有全球竞争力的</w:t>
      </w:r>
      <w:r>
        <w:rPr>
          <w:rFonts w:ascii="Times New Roman" w:eastAsia="宋体" w:hAnsi="Times New Roman" w:cs="Times New Roman"/>
        </w:rPr>
        <w:t>100</w:t>
      </w:r>
      <w:r>
        <w:rPr>
          <w:rFonts w:ascii="楷体" w:eastAsia="楷体" w:hAnsi="楷体" w:cs="楷体"/>
        </w:rPr>
        <w:t>所左右重点大学。</w:t>
      </w:r>
      <w:r>
        <w:rPr>
          <w:rFonts w:ascii="Times New Roman" w:eastAsia="宋体" w:hAnsi="Times New Roman" w:cs="Times New Roman"/>
        </w:rPr>
        <w:t>2008</w:t>
      </w:r>
      <w:r>
        <w:rPr>
          <w:rFonts w:ascii="楷体" w:eastAsia="楷体" w:hAnsi="楷体" w:cs="楷体"/>
        </w:rPr>
        <w:t>年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全国普通高校在校生达到</w:t>
      </w:r>
      <w:r>
        <w:rPr>
          <w:rFonts w:ascii="Times New Roman" w:eastAsia="宋体" w:hAnsi="Times New Roman" w:cs="Times New Roman"/>
        </w:rPr>
        <w:t>2021</w:t>
      </w:r>
      <w:r>
        <w:rPr>
          <w:rFonts w:ascii="楷体" w:eastAsia="楷体" w:hAnsi="楷体" w:cs="楷体"/>
        </w:rPr>
        <w:t>万人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是</w:t>
      </w:r>
      <w:r>
        <w:rPr>
          <w:rFonts w:ascii="Times New Roman" w:eastAsia="宋体" w:hAnsi="Times New Roman" w:cs="Times New Roman"/>
        </w:rPr>
        <w:t>1998</w:t>
      </w:r>
      <w:r>
        <w:rPr>
          <w:rFonts w:ascii="楷体" w:eastAsia="楷体" w:hAnsi="楷体" w:cs="楷体"/>
        </w:rPr>
        <w:t>年的</w:t>
      </w:r>
      <w:r>
        <w:rPr>
          <w:rFonts w:ascii="Times New Roman" w:eastAsia="宋体" w:hAnsi="Times New Roman" w:cs="Times New Roman"/>
        </w:rPr>
        <w:t>4</w:t>
      </w:r>
      <w:r w:rsidR="003B5B15">
        <w:rPr>
          <w:rFonts w:ascii="Times New Roman" w:eastAsia="宋体" w:hAnsi="Times New Roman" w:cs="Times New Roman" w:hint="eastAsia"/>
        </w:rPr>
        <w:t>.</w:t>
      </w:r>
      <w:r>
        <w:rPr>
          <w:rFonts w:ascii="Times New Roman" w:eastAsia="宋体" w:hAnsi="Times New Roman" w:cs="Times New Roman"/>
        </w:rPr>
        <w:t>5</w:t>
      </w:r>
      <w:r>
        <w:rPr>
          <w:rFonts w:ascii="楷体" w:eastAsia="楷体" w:hAnsi="楷体" w:cs="楷体"/>
        </w:rPr>
        <w:t>倍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是</w:t>
      </w:r>
      <w:r>
        <w:rPr>
          <w:rFonts w:ascii="Times New Roman" w:eastAsia="宋体" w:hAnsi="Times New Roman" w:cs="Times New Roman"/>
        </w:rPr>
        <w:t>1949</w:t>
      </w:r>
      <w:r>
        <w:rPr>
          <w:rFonts w:ascii="楷体" w:eastAsia="楷体" w:hAnsi="楷体" w:cs="楷体"/>
        </w:rPr>
        <w:t>年的</w:t>
      </w:r>
      <w:r>
        <w:rPr>
          <w:rFonts w:ascii="Times New Roman" w:eastAsia="宋体" w:hAnsi="Times New Roman" w:cs="Times New Roman"/>
        </w:rPr>
        <w:t>172</w:t>
      </w:r>
      <w:r>
        <w:rPr>
          <w:rFonts w:ascii="楷体" w:eastAsia="楷体" w:hAnsi="楷体" w:cs="楷体"/>
        </w:rPr>
        <w:t>倍多</w:t>
      </w:r>
      <w:r w:rsidRPr="00C204DF" w:rsidR="00C204DF">
        <w:rPr>
          <w:rFonts w:ascii="楷体" w:eastAsia="楷体" w:hAnsi="楷体" w:cs="楷体"/>
        </w:rPr>
        <w:t>，</w:t>
      </w:r>
      <w:r>
        <w:rPr>
          <w:rFonts w:ascii="楷体" w:eastAsia="楷体" w:hAnsi="楷体" w:cs="楷体"/>
        </w:rPr>
        <w:t>高等教育规模居世界首位。</w:t>
      </w:r>
    </w:p>
    <w:p w:rsidR="00993980" w:rsidP="00C204DF">
      <w:pPr>
        <w:spacing w:line="360" w:lineRule="auto"/>
        <w:ind w:left="420"/>
        <w:jc w:val="right"/>
        <w:textAlignment w:val="center"/>
        <w:rPr>
          <w:rFonts w:ascii="Times New Roman" w:eastAsia="宋体" w:hAnsi="Times New Roman" w:cs="Times New Roman"/>
        </w:rPr>
      </w:pPr>
      <w:r>
        <w:rPr>
          <w:rFonts w:ascii="楷体" w:eastAsia="楷体" w:hAnsi="楷体" w:cs="楷体"/>
        </w:rPr>
        <w:t>——摘编自</w:t>
      </w:r>
      <w:r>
        <w:rPr>
          <w:rFonts w:ascii="楷体" w:eastAsia="楷体" w:hAnsi="楷体" w:cs="楷体"/>
        </w:rPr>
        <w:t>韩梦洁</w:t>
      </w:r>
      <w:r>
        <w:rPr>
          <w:rFonts w:ascii="楷体" w:eastAsia="楷体" w:hAnsi="楷体" w:cs="楷体"/>
        </w:rPr>
        <w:t>、宋伟《新中国成立以来高等教育区域结构的制度安排与反思》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请回答</w:t>
      </w:r>
      <w:r w:rsidR="00C204DF">
        <w:rPr>
          <w:rFonts w:ascii="Times New Roman" w:eastAsia="宋体" w:hAnsi="Times New Roman" w:cs="Times New Roman"/>
        </w:rPr>
        <w:t>：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1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根据材料</w:t>
      </w:r>
      <w:r w:rsidR="00FA160D">
        <w:rPr>
          <w:rFonts w:ascii="Times New Roman" w:eastAsia="宋体" w:hAnsi="Times New Roman" w:cs="Times New Roman"/>
        </w:rPr>
        <w:t>一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分析中世纪欧洲大学的分布特点。结合所学知识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指出中世纪大学发展的意义。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2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根据材料二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归纳抗战时期西南联大做出了哪些贡献？结合所</w:t>
      </w:r>
      <w:bookmarkStart w:id="0" w:name="_GoBack"/>
      <w:bookmarkEnd w:id="0"/>
      <w:r w:rsidR="00FA160D">
        <w:rPr>
          <w:rFonts w:ascii="Times New Roman" w:eastAsia="宋体" w:hAnsi="Times New Roman" w:cs="Times New Roman"/>
        </w:rPr>
        <w:t>学知识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指出抗战时期重庆高等教育发展的表现。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3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根据材料三、概括新中国高等教育发展的趋势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结合所学知识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分析新中国高等教育改革的历史背景。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</w:rPr>
      </w:pPr>
      <w:r>
        <w:rPr>
          <w:rFonts w:ascii="Times New Roman" w:eastAsia="宋体" w:hAnsi="Times New Roman" w:cs="Times New Roman"/>
        </w:rPr>
        <w:t>（</w:t>
      </w:r>
      <w:r w:rsidR="00FA160D">
        <w:rPr>
          <w:rFonts w:ascii="Times New Roman" w:eastAsia="宋体" w:hAnsi="Times New Roman" w:cs="Times New Roman"/>
        </w:rPr>
        <w:t>4</w:t>
      </w:r>
      <w:r>
        <w:rPr>
          <w:rFonts w:ascii="Times New Roman" w:eastAsia="宋体" w:hAnsi="Times New Roman" w:cs="Times New Roman"/>
        </w:rPr>
        <w:t>）</w:t>
      </w:r>
      <w:r w:rsidR="00FA160D">
        <w:rPr>
          <w:rFonts w:ascii="Times New Roman" w:eastAsia="宋体" w:hAnsi="Times New Roman" w:cs="Times New Roman"/>
        </w:rPr>
        <w:t>综合上述材料</w:t>
      </w:r>
      <w:r w:rsidRPr="00C204DF">
        <w:rPr>
          <w:rFonts w:ascii="Times New Roman" w:eastAsia="宋体" w:hAnsi="Times New Roman" w:cs="Times New Roman"/>
        </w:rPr>
        <w:t>，</w:t>
      </w:r>
      <w:r w:rsidR="00FA160D">
        <w:rPr>
          <w:rFonts w:ascii="Times New Roman" w:eastAsia="宋体" w:hAnsi="Times New Roman" w:cs="Times New Roman"/>
        </w:rPr>
        <w:t>谈谈你的认识。</w:t>
      </w:r>
    </w:p>
    <w:p w:rsidR="00993980" w:rsidP="00C204DF">
      <w:pPr>
        <w:spacing w:line="360" w:lineRule="auto"/>
        <w:ind w:left="420"/>
        <w:jc w:val="left"/>
        <w:textAlignment w:val="center"/>
        <w:rPr>
          <w:rFonts w:ascii="Times New Roman" w:eastAsia="宋体" w:hAnsi="Times New Roman" w:cs="Times New Roman"/>
          <w:b/>
          <w:bCs/>
          <w:color w:val="70AD47" w:themeColor="accent6"/>
        </w:rPr>
      </w:pPr>
    </w:p>
    <w:sectPr>
      <w:headerReference w:type="default" r:id="rId18"/>
      <w:footerReference w:type="default" r:id="rId19"/>
      <w:pgSz w:w="11906" w:h="16838"/>
      <w:pgMar w:top="1440" w:right="1083" w:bottom="1440" w:left="1083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93980">
    <w:pPr>
      <w:jc w:val="center"/>
    </w:pPr>
    <w:r>
      <w:rPr>
        <w:rFonts w:ascii="Times New Roman" w:eastAsia="Times New Roman" w:hAnsi="Times New Roman"/>
      </w:rPr>
      <w:fldChar w:fldCharType="begin"/>
    </w:r>
    <w:r>
      <w:rPr>
        <w:rFonts w:ascii="Times New Roman" w:eastAsia="Times New Roman" w:hAnsi="Times New Roman"/>
      </w:rPr>
      <w:instrText>PAGE</w:instrText>
    </w:r>
    <w:r>
      <w:rPr>
        <w:rFonts w:ascii="Times New Roman" w:eastAsia="Times New Roman" w:hAnsi="Times New Roman"/>
      </w:rPr>
      <w:fldChar w:fldCharType="separate"/>
    </w:r>
    <w:r w:rsidR="003B5B15">
      <w:rPr>
        <w:rFonts w:ascii="Times New Roman" w:eastAsia="Times New Roman" w:hAnsi="Times New Roman"/>
        <w:noProof/>
      </w:rPr>
      <w:t>12</w:t>
    </w:r>
    <w:r>
      <w:rPr>
        <w:rFonts w:ascii="Times New Roman" w:eastAsia="Times New Roman" w:hAnsi="Times New Roman"/>
      </w:rPr>
      <w:fldChar w:fldCharType="end"/>
    </w:r>
    <w:r>
      <w:rPr>
        <w:rFonts w:ascii="Times New Roman" w:eastAsia="Times New Roman" w:hAnsi="Times New Roman"/>
      </w:rPr>
      <w:t xml:space="preserve"> / </w:t>
    </w:r>
    <w:r>
      <w:rPr>
        <w:rFonts w:ascii="Times New Roman" w:eastAsia="Times New Roman" w:hAnsi="Times New Roman"/>
      </w:rPr>
      <w:fldChar w:fldCharType="begin"/>
    </w:r>
    <w:r>
      <w:rPr>
        <w:rFonts w:ascii="Times New Roman" w:eastAsia="Times New Roman" w:hAnsi="Times New Roman"/>
      </w:rPr>
      <w:instrText>NUMPAGES</w:instrText>
    </w:r>
    <w:r>
      <w:rPr>
        <w:rFonts w:ascii="Times New Roman" w:eastAsia="Times New Roman" w:hAnsi="Times New Roman"/>
      </w:rPr>
      <w:fldChar w:fldCharType="separate"/>
    </w:r>
    <w:r w:rsidR="003B5B15">
      <w:rPr>
        <w:rFonts w:ascii="Times New Roman" w:eastAsia="Times New Roman" w:hAnsi="Times New Roman"/>
        <w:noProof/>
      </w:rPr>
      <w:t>12</w:t>
    </w:r>
    <w:r>
      <w:rPr>
        <w:rFonts w:ascii="Times New Roman" w:eastAsia="Times New Roman" w:hAnsi="Times New Roman"/>
      </w:rPr>
      <w:fldChar w:fldCharType="end"/>
    </w:r>
  </w:p>
  <w:p w:rsidR="004151FC">
    <w:pPr>
      <w:tabs>
        <w:tab w:val="center" w:pos="4153"/>
        <w:tab w:val="right" w:pos="8306"/>
      </w:tabs>
      <w:snapToGrid w:val="0"/>
      <w:jc w:val="left"/>
      <w:rPr>
        <w:rFonts w:ascii="Times New Roman" w:eastAsia="宋体" w:hAnsi="Times New Roman" w:cs="Times New Roman"/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2051" type="#_x0000_t136" alt="学科网 zxxk.com" style="width:2.85pt;height:2.85pt;margin-top:407.9pt;margin-left:158.95pt;mso-position-horizontal-relative:margin;mso-position-vertical-relative:margin;position:absolute;rotation:315;z-index:-251658240" o:allowincell="f" filled="t" stroked="f">
          <v:fill opacity="0.5"/>
          <v:textpath style="font-family:宋体;font-size:8pt;v-same-letter-heights:f;v-text-reverse:f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2052" type="#_x0000_t75" alt="学科网 zxxk.com" style="width:0.05pt;height:0.05pt;margin-top:-20.75pt;margin-left:64.05pt;position:absolute;z-index:251659264" filled="f" stroked="f">
          <v:imagedata r:id="rId1" r:href="rId2" o:title=""/>
          <v:path o:extrusionok="f"/>
          <o:lock v:ext="edit" aspectratio="t"/>
        </v:shape>
      </w:pict>
    </w:r>
    <w:r>
      <w:rPr>
        <w:rFonts w:ascii="Times New Roman" w:eastAsia="宋体" w:hAnsi="Times New Roman" w:cs="Times New Roman" w:hint="eastAsia"/>
        <w:color w:val="FFFFFF"/>
        <w:kern w:val="0"/>
        <w:sz w:val="2"/>
        <w:szCs w:val="2"/>
      </w:rPr>
      <w:t>学科网（北京）股份有限公司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993980">
    <w:r>
      <w:rPr>
        <w:noProof/>
      </w:rPr>
      <w:drawing>
        <wp:inline distT="0" distB="0" distL="0" distR="0">
          <wp:extent cx="6207125" cy="190500"/>
          <wp:effectExtent l="0" t="0" r="0" b="0"/>
          <wp:docPr id="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6207125" cy="190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151FC">
    <w:pPr>
      <w:pBdr>
        <w:bottom w:val="none" w:sz="0" w:space="1" w:color="auto"/>
      </w:pBdr>
      <w:tabs>
        <w:tab w:val="clear" w:pos="4153"/>
        <w:tab w:val="clear" w:pos="8306"/>
      </w:tabs>
      <w:snapToGrid w:val="0"/>
      <w:rPr>
        <w:rFonts w:ascii="Times New Roman" w:eastAsia="宋体" w:hAnsi="Times New Roman" w:cs="Times New Roman"/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2049" type="#_x0000_t75" alt="学科网 zxxk.com" style="width:0.75pt;height:0.75pt;margin-top:8.45pt;margin-left:351pt;position:absolute;z-index:251658240" filled="f" stroked="f">
          <v:imagedata r:id="rId2" r:href="rId3" o:title=""/>
          <v:path o:extrusionok="f"/>
          <o:lock v:ext="edit" aspectratio="t"/>
        </v:shape>
      </w:pict>
    </w:r>
    <w:r>
      <w:rPr>
        <w:rFonts w:hint="eastAsia"/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2050" type="#_x0000_t136" alt="学科网 zxxk.com" style="width:0.89pt;height:0.85pt" filled="f" stroked="f" strokecolor="white">
          <v:fill color2="#aaa"/>
          <v:shadow color="#4d4d4d" opacity="52429f" offset=",3pt"/>
          <v:textpath style="font-family:宋体;font-size:8pt;v-rotate-letters:f;v-same-letter-heights:f;v-text-kern:t;v-text-reverse:f;v-text-spacing:78650f" trim="t" fitpath="t" xscale="f" string="学科网（北京）股份有限公司 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proofState w:spelling="clean" w:grammar="clean"/>
  <w:defaultTabStop w:val="231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12FC2"/>
    <w:rsid w:val="00030B58"/>
    <w:rsid w:val="000C3824"/>
    <w:rsid w:val="000D0A78"/>
    <w:rsid w:val="000F663D"/>
    <w:rsid w:val="00143AA9"/>
    <w:rsid w:val="00172A27"/>
    <w:rsid w:val="001A1BDF"/>
    <w:rsid w:val="001C7E88"/>
    <w:rsid w:val="00201B2A"/>
    <w:rsid w:val="00266905"/>
    <w:rsid w:val="002A1EB5"/>
    <w:rsid w:val="003A60B2"/>
    <w:rsid w:val="003B531C"/>
    <w:rsid w:val="003B5B15"/>
    <w:rsid w:val="003D4A95"/>
    <w:rsid w:val="003E1AD7"/>
    <w:rsid w:val="003E710C"/>
    <w:rsid w:val="003F561A"/>
    <w:rsid w:val="004151FC"/>
    <w:rsid w:val="004406E8"/>
    <w:rsid w:val="004937FA"/>
    <w:rsid w:val="004A3F50"/>
    <w:rsid w:val="004C6214"/>
    <w:rsid w:val="004D5F63"/>
    <w:rsid w:val="00571965"/>
    <w:rsid w:val="005861B6"/>
    <w:rsid w:val="005B6051"/>
    <w:rsid w:val="00620A9F"/>
    <w:rsid w:val="006556C0"/>
    <w:rsid w:val="00671431"/>
    <w:rsid w:val="00694F01"/>
    <w:rsid w:val="00697184"/>
    <w:rsid w:val="006D6B31"/>
    <w:rsid w:val="006E6293"/>
    <w:rsid w:val="00735CBE"/>
    <w:rsid w:val="00737B13"/>
    <w:rsid w:val="00747B9B"/>
    <w:rsid w:val="00801BEF"/>
    <w:rsid w:val="008B5ED4"/>
    <w:rsid w:val="00993980"/>
    <w:rsid w:val="00A51524"/>
    <w:rsid w:val="00B2051B"/>
    <w:rsid w:val="00B80A60"/>
    <w:rsid w:val="00BF6B0E"/>
    <w:rsid w:val="00C02FC6"/>
    <w:rsid w:val="00C069E7"/>
    <w:rsid w:val="00C204DF"/>
    <w:rsid w:val="00C22C32"/>
    <w:rsid w:val="00C262F5"/>
    <w:rsid w:val="00C60690"/>
    <w:rsid w:val="00DA6A96"/>
    <w:rsid w:val="00DC2162"/>
    <w:rsid w:val="00DF5F69"/>
    <w:rsid w:val="00E55257"/>
    <w:rsid w:val="00E73841"/>
    <w:rsid w:val="00F13100"/>
    <w:rsid w:val="00F70A0C"/>
    <w:rsid w:val="00F967B8"/>
    <w:rsid w:val="00FA160D"/>
    <w:rsid w:val="00FB2830"/>
    <w:rsid w:val="010A29DC"/>
    <w:rsid w:val="011E7635"/>
    <w:rsid w:val="01443A28"/>
    <w:rsid w:val="01D134FA"/>
    <w:rsid w:val="022F4F6E"/>
    <w:rsid w:val="02B20860"/>
    <w:rsid w:val="02BA4EA4"/>
    <w:rsid w:val="02BF77F6"/>
    <w:rsid w:val="030F1F7E"/>
    <w:rsid w:val="035124A8"/>
    <w:rsid w:val="03A10FD4"/>
    <w:rsid w:val="03C56D03"/>
    <w:rsid w:val="040F1ED1"/>
    <w:rsid w:val="0442248D"/>
    <w:rsid w:val="054C4671"/>
    <w:rsid w:val="06C069A3"/>
    <w:rsid w:val="06C158EB"/>
    <w:rsid w:val="070E498D"/>
    <w:rsid w:val="071D0B0C"/>
    <w:rsid w:val="072506FA"/>
    <w:rsid w:val="073D4803"/>
    <w:rsid w:val="07493674"/>
    <w:rsid w:val="074B3407"/>
    <w:rsid w:val="07BA14B5"/>
    <w:rsid w:val="08203462"/>
    <w:rsid w:val="0846085E"/>
    <w:rsid w:val="08B70410"/>
    <w:rsid w:val="08F63B48"/>
    <w:rsid w:val="09357480"/>
    <w:rsid w:val="0A4A3E4A"/>
    <w:rsid w:val="0A687AD8"/>
    <w:rsid w:val="0A830C70"/>
    <w:rsid w:val="0AA04FB4"/>
    <w:rsid w:val="0B9D4CB5"/>
    <w:rsid w:val="0BAA1044"/>
    <w:rsid w:val="0BBE35C7"/>
    <w:rsid w:val="0CCE5330"/>
    <w:rsid w:val="0D092489"/>
    <w:rsid w:val="0D4252AC"/>
    <w:rsid w:val="0E5A03D3"/>
    <w:rsid w:val="0E5B6625"/>
    <w:rsid w:val="0E611A32"/>
    <w:rsid w:val="0E674BA2"/>
    <w:rsid w:val="10066A65"/>
    <w:rsid w:val="10146D27"/>
    <w:rsid w:val="113C261A"/>
    <w:rsid w:val="11F77791"/>
    <w:rsid w:val="12521E00"/>
    <w:rsid w:val="12E97100"/>
    <w:rsid w:val="14183E89"/>
    <w:rsid w:val="160D7128"/>
    <w:rsid w:val="16161345"/>
    <w:rsid w:val="16A8314F"/>
    <w:rsid w:val="175B58B1"/>
    <w:rsid w:val="199F6E23"/>
    <w:rsid w:val="19EF59BA"/>
    <w:rsid w:val="1A016F45"/>
    <w:rsid w:val="1A7F3039"/>
    <w:rsid w:val="1D41732E"/>
    <w:rsid w:val="1E205A0A"/>
    <w:rsid w:val="1E42510C"/>
    <w:rsid w:val="1EFD1033"/>
    <w:rsid w:val="1F3E6060"/>
    <w:rsid w:val="1FE13D1F"/>
    <w:rsid w:val="204A7721"/>
    <w:rsid w:val="21132D8F"/>
    <w:rsid w:val="21963970"/>
    <w:rsid w:val="21A6507B"/>
    <w:rsid w:val="22077EAB"/>
    <w:rsid w:val="22F57EAF"/>
    <w:rsid w:val="23454050"/>
    <w:rsid w:val="23CC192B"/>
    <w:rsid w:val="251C7334"/>
    <w:rsid w:val="253A197B"/>
    <w:rsid w:val="253B7EF0"/>
    <w:rsid w:val="25A6683E"/>
    <w:rsid w:val="25FB54E6"/>
    <w:rsid w:val="27C052F3"/>
    <w:rsid w:val="2810618F"/>
    <w:rsid w:val="2857710D"/>
    <w:rsid w:val="28932D88"/>
    <w:rsid w:val="28E65FFE"/>
    <w:rsid w:val="296E7A51"/>
    <w:rsid w:val="299D769A"/>
    <w:rsid w:val="2AA91D98"/>
    <w:rsid w:val="2AB4113F"/>
    <w:rsid w:val="2ADD0BB2"/>
    <w:rsid w:val="2B47078A"/>
    <w:rsid w:val="2B682A08"/>
    <w:rsid w:val="2C4829BD"/>
    <w:rsid w:val="2C8C11DD"/>
    <w:rsid w:val="2F2A2F8A"/>
    <w:rsid w:val="2F5876C2"/>
    <w:rsid w:val="2F827582"/>
    <w:rsid w:val="3025488D"/>
    <w:rsid w:val="30D56A93"/>
    <w:rsid w:val="30DA1C73"/>
    <w:rsid w:val="310F6C24"/>
    <w:rsid w:val="31927D00"/>
    <w:rsid w:val="321656AE"/>
    <w:rsid w:val="324B1359"/>
    <w:rsid w:val="32B97039"/>
    <w:rsid w:val="32BE4949"/>
    <w:rsid w:val="337B4EF0"/>
    <w:rsid w:val="33D22C2B"/>
    <w:rsid w:val="34034EE6"/>
    <w:rsid w:val="340B51F1"/>
    <w:rsid w:val="34D05115"/>
    <w:rsid w:val="34DB19BE"/>
    <w:rsid w:val="37B65A46"/>
    <w:rsid w:val="37F35313"/>
    <w:rsid w:val="38585147"/>
    <w:rsid w:val="39CB1E5C"/>
    <w:rsid w:val="3CFC5CFD"/>
    <w:rsid w:val="3E2B12C1"/>
    <w:rsid w:val="3E302AD9"/>
    <w:rsid w:val="3E302FAA"/>
    <w:rsid w:val="3F392018"/>
    <w:rsid w:val="3FA70E1B"/>
    <w:rsid w:val="3FC52AD9"/>
    <w:rsid w:val="3FC574F3"/>
    <w:rsid w:val="403E5AE8"/>
    <w:rsid w:val="409243BE"/>
    <w:rsid w:val="41695FF3"/>
    <w:rsid w:val="4184316F"/>
    <w:rsid w:val="421B3E90"/>
    <w:rsid w:val="433F7E95"/>
    <w:rsid w:val="434661BF"/>
    <w:rsid w:val="43C0139C"/>
    <w:rsid w:val="44B975F6"/>
    <w:rsid w:val="452E0BB6"/>
    <w:rsid w:val="45E81FF5"/>
    <w:rsid w:val="45EF4D65"/>
    <w:rsid w:val="46DC584E"/>
    <w:rsid w:val="46E3720C"/>
    <w:rsid w:val="47064475"/>
    <w:rsid w:val="475060AF"/>
    <w:rsid w:val="48FB5D34"/>
    <w:rsid w:val="49507E2D"/>
    <w:rsid w:val="4A181876"/>
    <w:rsid w:val="4A7C355C"/>
    <w:rsid w:val="4C105824"/>
    <w:rsid w:val="4CE126CD"/>
    <w:rsid w:val="4E835BA2"/>
    <w:rsid w:val="4F1D1146"/>
    <w:rsid w:val="4F6768F9"/>
    <w:rsid w:val="4FEE214E"/>
    <w:rsid w:val="50507BB0"/>
    <w:rsid w:val="507E34D2"/>
    <w:rsid w:val="50AA0EC9"/>
    <w:rsid w:val="50D71373"/>
    <w:rsid w:val="51293F60"/>
    <w:rsid w:val="513A3AA6"/>
    <w:rsid w:val="52B82624"/>
    <w:rsid w:val="52CB49C9"/>
    <w:rsid w:val="557C43C4"/>
    <w:rsid w:val="56893B64"/>
    <w:rsid w:val="56D30863"/>
    <w:rsid w:val="58EC0A5F"/>
    <w:rsid w:val="59CA000B"/>
    <w:rsid w:val="5A1C7A58"/>
    <w:rsid w:val="5A252481"/>
    <w:rsid w:val="5B5724A3"/>
    <w:rsid w:val="5C6058C3"/>
    <w:rsid w:val="5C6760BF"/>
    <w:rsid w:val="5CB00EB7"/>
    <w:rsid w:val="5E94711B"/>
    <w:rsid w:val="5ECA2C74"/>
    <w:rsid w:val="5FC60AF2"/>
    <w:rsid w:val="60676BE3"/>
    <w:rsid w:val="60690D23"/>
    <w:rsid w:val="60D813E8"/>
    <w:rsid w:val="615A3CBB"/>
    <w:rsid w:val="61CF56B7"/>
    <w:rsid w:val="63B35731"/>
    <w:rsid w:val="63EB0A27"/>
    <w:rsid w:val="64A86918"/>
    <w:rsid w:val="67027D55"/>
    <w:rsid w:val="67901DE5"/>
    <w:rsid w:val="697664E9"/>
    <w:rsid w:val="6ADF0B63"/>
    <w:rsid w:val="6B161FBD"/>
    <w:rsid w:val="6BAD5AA8"/>
    <w:rsid w:val="6BCE2980"/>
    <w:rsid w:val="6C6857D1"/>
    <w:rsid w:val="6D325918"/>
    <w:rsid w:val="6D413EF5"/>
    <w:rsid w:val="6DA47E46"/>
    <w:rsid w:val="6DC20F1D"/>
    <w:rsid w:val="6DF55653"/>
    <w:rsid w:val="6E0E0DEF"/>
    <w:rsid w:val="6ECA4467"/>
    <w:rsid w:val="6EEC100C"/>
    <w:rsid w:val="70832E1C"/>
    <w:rsid w:val="709654EB"/>
    <w:rsid w:val="70C62CED"/>
    <w:rsid w:val="71AA0501"/>
    <w:rsid w:val="71B5080D"/>
    <w:rsid w:val="720B179A"/>
    <w:rsid w:val="7295497F"/>
    <w:rsid w:val="729A65A7"/>
    <w:rsid w:val="72FC0465"/>
    <w:rsid w:val="73135419"/>
    <w:rsid w:val="739531F2"/>
    <w:rsid w:val="73BD6C1A"/>
    <w:rsid w:val="73DD02C3"/>
    <w:rsid w:val="74382034"/>
    <w:rsid w:val="75405343"/>
    <w:rsid w:val="754B3A1B"/>
    <w:rsid w:val="76EB5674"/>
    <w:rsid w:val="77A61681"/>
    <w:rsid w:val="782B5C68"/>
    <w:rsid w:val="78AB0A2D"/>
    <w:rsid w:val="79960190"/>
    <w:rsid w:val="7A236D15"/>
    <w:rsid w:val="7A6B6883"/>
    <w:rsid w:val="7ADB0244"/>
    <w:rsid w:val="7B39441D"/>
    <w:rsid w:val="7B825CBD"/>
    <w:rsid w:val="7C1607F6"/>
    <w:rsid w:val="7CB2073C"/>
    <w:rsid w:val="7CF3034F"/>
    <w:rsid w:val="7DE31DEC"/>
    <w:rsid w:val="7E236C23"/>
    <w:rsid w:val="7ED904A9"/>
    <w:rsid w:val="7F1865E7"/>
  </w:rsids>
  <w:docVars>
    <w:docVar w:name="commondata" w:val="eyJoZGlkIjoiYmQ3NjQxYmZmN2ZkODIxYWNiNTEzMzQyMTZmNzQ1MmM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qFormat="1"/>
    <w:lsdException w:name="Normal Table" w:qFormat="1"/>
    <w:lsdException w:name="Balloon Text" w:qFormat="1"/>
    <w:lsdException w:name="Table Grid" w:semiHidden="0" w:uiPriority="3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spacing w:beforeAutospacing="1" w:afterAutospacing="1"/>
      <w:jc w:val="left"/>
      <w:outlineLvl w:val="3"/>
    </w:pPr>
    <w:rPr>
      <w:rFonts w:ascii="宋体" w:eastAsia="宋体" w:hAnsi="宋体" w:cs="Times New Roman" w:hint="eastAsia"/>
      <w:b/>
      <w:bCs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qFormat/>
    <w:rPr>
      <w:rFonts w:ascii="宋体" w:hAnsi="Courier New" w:cs="Courier New"/>
      <w:szCs w:val="21"/>
    </w:rPr>
  </w:style>
  <w:style w:type="paragraph" w:styleId="BalloonText">
    <w:name w:val="Balloon Text"/>
    <w:basedOn w:val="Normal"/>
    <w:link w:val="Char1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Char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qFormat/>
    <w:rPr>
      <w:sz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qFormat/>
    <w:rPr>
      <w:b/>
    </w:rPr>
  </w:style>
  <w:style w:type="character" w:customStyle="1" w:styleId="Char">
    <w:name w:val="页眉 Char"/>
    <w:basedOn w:val="DefaultParagraphFont"/>
    <w:link w:val="Header"/>
    <w:uiPriority w:val="99"/>
    <w:qFormat/>
    <w:rPr>
      <w:sz w:val="18"/>
      <w:szCs w:val="18"/>
    </w:rPr>
  </w:style>
  <w:style w:type="character" w:customStyle="1" w:styleId="Char0">
    <w:name w:val="页脚 Char"/>
    <w:basedOn w:val="DefaultParagraphFont"/>
    <w:link w:val="Footer"/>
    <w:uiPriority w:val="99"/>
    <w:qFormat/>
    <w:rPr>
      <w:sz w:val="18"/>
      <w:szCs w:val="18"/>
    </w:rPr>
  </w:style>
  <w:style w:type="character" w:customStyle="1" w:styleId="Char1">
    <w:name w:val="批注框文本 Char"/>
    <w:basedOn w:val="DefaultParagraphFont"/>
    <w:link w:val="BalloonText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header" Target="header1.xml" /><Relationship Id="rId19" Type="http://schemas.openxmlformats.org/officeDocument/2006/relationships/footer" Target="footer1.xml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_rels/footer1.xml.rels><?xml version="1.0" encoding="utf-8" standalone="yes"?><Relationships xmlns="http://schemas.openxmlformats.org/package/2006/relationships"><Relationship Id="rId1" Type="http://schemas.openxmlformats.org/officeDocument/2006/relationships/image" Target="media/image16.png" /><Relationship Id="rId2" Type="http://schemas.openxmlformats.org/officeDocument/2006/relationships/image" Target="file:///D:\qq&#25991;&#20214;\712321467\Image\C2C\Image2\%7B75232B38-A165-1FB7-499C-2E1C792CACB5%7D.png" TargetMode="External" /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5.png" /><Relationship Id="rId2" Type="http://schemas.openxmlformats.org/officeDocument/2006/relationships/image" Target="media/image16.png" /><Relationship Id="rId3" Type="http://schemas.openxmlformats.org/officeDocument/2006/relationships/image" Target="file:///D:\qq&#25991;&#20214;\712321467\Image\C2C\Image2\%7B75232B38-A165-1FB7-499C-2E1C792CACB5%7D.png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12</Pages>
  <Words>1450</Words>
  <Characters>8268</Characters>
  <Application>Microsoft Office Word</Application>
  <DocSecurity>0</DocSecurity>
  <Lines>68</Lines>
  <Paragraphs>19</Paragraphs>
  <ScaleCrop>false</ScaleCrop>
  <Company/>
  <LinksUpToDate>false</LinksUpToDate>
  <CharactersWithSpaces>9699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WSJ</dc:creator>
  <dc:description>原创精品资源学科网独家享有版权，侵权必究！</dc:description>
  <cp:lastModifiedBy>DELL</cp:lastModifiedBy>
  <cp:revision>30</cp:revision>
  <dcterms:created xsi:type="dcterms:W3CDTF">2022-07-14T00:56:00Z</dcterms:created>
  <dcterms:modified xsi:type="dcterms:W3CDTF">2025-08-26T09:50:00Z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